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ind w:left="16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66000" cy="144932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000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Title"/>
      </w:pPr>
      <w:r>
        <w:rPr/>
        <w:t>PLANTX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INC.</w:t>
      </w:r>
    </w:p>
    <w:p>
      <w:pPr>
        <w:spacing w:before="368"/>
        <w:ind w:left="1663" w:right="1693" w:firstLine="0"/>
        <w:jc w:val="center"/>
        <w:rPr>
          <w:sz w:val="32"/>
        </w:rPr>
      </w:pPr>
      <w:r>
        <w:rPr>
          <w:sz w:val="32"/>
        </w:rPr>
        <w:t>MANAGEMENT</w:t>
      </w:r>
      <w:r>
        <w:rPr>
          <w:spacing w:val="-3"/>
          <w:sz w:val="32"/>
        </w:rPr>
        <w:t> </w:t>
      </w:r>
      <w:r>
        <w:rPr>
          <w:sz w:val="32"/>
        </w:rPr>
        <w:t>DISCUSSION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ANALYSIS</w:t>
      </w:r>
    </w:p>
    <w:p>
      <w:pPr>
        <w:spacing w:before="175"/>
        <w:ind w:left="1663" w:right="1681" w:firstLine="0"/>
        <w:jc w:val="center"/>
        <w:rPr>
          <w:sz w:val="32"/>
        </w:rPr>
      </w:pP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year</w:t>
      </w:r>
      <w:r>
        <w:rPr>
          <w:spacing w:val="-1"/>
          <w:sz w:val="32"/>
        </w:rPr>
        <w:t> </w:t>
      </w:r>
      <w:r>
        <w:rPr>
          <w:sz w:val="32"/>
        </w:rPr>
        <w:t>ended</w:t>
      </w:r>
      <w:r>
        <w:rPr>
          <w:spacing w:val="-2"/>
          <w:sz w:val="32"/>
        </w:rPr>
        <w:t> </w:t>
      </w:r>
      <w:r>
        <w:rPr>
          <w:sz w:val="32"/>
        </w:rPr>
        <w:t>March</w:t>
      </w:r>
      <w:r>
        <w:rPr>
          <w:spacing w:val="-1"/>
          <w:sz w:val="32"/>
        </w:rPr>
        <w:t> </w:t>
      </w:r>
      <w:r>
        <w:rPr>
          <w:sz w:val="32"/>
        </w:rPr>
        <w:t>31,</w:t>
      </w:r>
      <w:r>
        <w:rPr>
          <w:spacing w:val="-1"/>
          <w:sz w:val="32"/>
        </w:rPr>
        <w:t> </w:t>
      </w:r>
      <w:r>
        <w:rPr>
          <w:sz w:val="32"/>
        </w:rPr>
        <w:t>2023 and</w:t>
      </w:r>
      <w:r>
        <w:rPr>
          <w:spacing w:val="-1"/>
          <w:sz w:val="32"/>
        </w:rPr>
        <w:t> </w:t>
      </w:r>
      <w:r>
        <w:rPr>
          <w:sz w:val="32"/>
        </w:rPr>
        <w:t>2022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4"/>
        </w:rPr>
      </w:pPr>
    </w:p>
    <w:p>
      <w:pPr>
        <w:spacing w:before="1"/>
        <w:ind w:left="3833" w:right="3857" w:firstLine="0"/>
        <w:jc w:val="center"/>
        <w:rPr>
          <w:sz w:val="20"/>
        </w:rPr>
      </w:pPr>
      <w:r>
        <w:rPr>
          <w:sz w:val="20"/>
        </w:rPr>
        <w:t>504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100 Park</w:t>
      </w:r>
      <w:r>
        <w:rPr>
          <w:spacing w:val="-1"/>
          <w:sz w:val="20"/>
        </w:rPr>
        <w:t> </w:t>
      </w:r>
      <w:r>
        <w:rPr>
          <w:sz w:val="20"/>
        </w:rPr>
        <w:t>Royal</w:t>
      </w:r>
      <w:r>
        <w:rPr>
          <w:spacing w:val="-2"/>
          <w:sz w:val="20"/>
        </w:rPr>
        <w:t> </w:t>
      </w:r>
      <w:r>
        <w:rPr>
          <w:sz w:val="20"/>
        </w:rPr>
        <w:t>South</w:t>
      </w:r>
    </w:p>
    <w:p>
      <w:pPr>
        <w:spacing w:before="0"/>
        <w:ind w:left="3115" w:right="3143" w:firstLine="0"/>
        <w:jc w:val="center"/>
        <w:rPr>
          <w:sz w:val="20"/>
        </w:rPr>
      </w:pPr>
      <w:r>
        <w:rPr>
          <w:sz w:val="20"/>
        </w:rPr>
        <w:t>West</w:t>
      </w:r>
      <w:r>
        <w:rPr>
          <w:spacing w:val="-2"/>
          <w:sz w:val="20"/>
        </w:rPr>
        <w:t> </w:t>
      </w:r>
      <w:r>
        <w:rPr>
          <w:sz w:val="20"/>
        </w:rPr>
        <w:t>Vancouver,</w:t>
      </w:r>
      <w:r>
        <w:rPr>
          <w:spacing w:val="-3"/>
          <w:sz w:val="20"/>
        </w:rPr>
        <w:t> </w:t>
      </w:r>
      <w:r>
        <w:rPr>
          <w:sz w:val="20"/>
        </w:rPr>
        <w:t>British</w:t>
      </w:r>
      <w:r>
        <w:rPr>
          <w:spacing w:val="-2"/>
          <w:sz w:val="20"/>
        </w:rPr>
        <w:t> </w:t>
      </w:r>
      <w:r>
        <w:rPr>
          <w:sz w:val="20"/>
        </w:rPr>
        <w:t>Columbia,</w:t>
      </w:r>
      <w:r>
        <w:rPr>
          <w:spacing w:val="-3"/>
          <w:sz w:val="20"/>
        </w:rPr>
        <w:t> </w:t>
      </w:r>
      <w:r>
        <w:rPr>
          <w:sz w:val="20"/>
        </w:rPr>
        <w:t>V7T</w:t>
      </w:r>
      <w:r>
        <w:rPr>
          <w:spacing w:val="-4"/>
          <w:sz w:val="20"/>
        </w:rPr>
        <w:t> </w:t>
      </w:r>
      <w:r>
        <w:rPr>
          <w:sz w:val="20"/>
        </w:rPr>
        <w:t>1A2</w:t>
      </w:r>
      <w:r>
        <w:rPr>
          <w:spacing w:val="-52"/>
          <w:sz w:val="20"/>
        </w:rPr>
        <w:t> </w:t>
      </w:r>
      <w:r>
        <w:rPr>
          <w:sz w:val="20"/>
        </w:rPr>
        <w:t>Tel:</w:t>
      </w:r>
      <w:r>
        <w:rPr>
          <w:spacing w:val="54"/>
          <w:sz w:val="20"/>
        </w:rPr>
        <w:t> </w:t>
      </w:r>
      <w:r>
        <w:rPr>
          <w:sz w:val="20"/>
        </w:rPr>
        <w:t>(604) 355-6100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500" w:bottom="28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2864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7"/>
        <w:jc w:val="both"/>
      </w:pPr>
      <w:r>
        <w:rPr/>
        <w:t>This management discussion and analysis (</w:t>
      </w:r>
      <w:r>
        <w:rPr>
          <w:rFonts w:ascii="Arial" w:hAnsi="Arial"/>
          <w:b/>
        </w:rPr>
        <w:t>“MD&amp;A”</w:t>
      </w:r>
      <w:r>
        <w:rPr/>
        <w:t>) is to accompany the consolidated financial</w:t>
      </w:r>
      <w:r>
        <w:rPr>
          <w:spacing w:val="1"/>
        </w:rPr>
        <w:t> </w:t>
      </w:r>
      <w:r>
        <w:rPr/>
        <w:t>statements of PlantX Life Inc. (</w:t>
      </w:r>
      <w:r>
        <w:rPr>
          <w:rFonts w:ascii="Arial" w:hAnsi="Arial"/>
          <w:b/>
        </w:rPr>
        <w:t>“PlantX” </w:t>
      </w:r>
      <w:r>
        <w:rPr/>
        <w:t>or the </w:t>
      </w:r>
      <w:r>
        <w:rPr>
          <w:rFonts w:ascii="Arial" w:hAnsi="Arial"/>
          <w:b/>
        </w:rPr>
        <w:t>“Company”</w:t>
      </w:r>
      <w:r>
        <w:rPr/>
        <w:t>) for the year ended March 31, 2023 and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/>
        <w:jc w:val="both"/>
      </w:pPr>
      <w:r>
        <w:rPr/>
        <w:t>This</w:t>
      </w:r>
      <w:r>
        <w:rPr>
          <w:spacing w:val="-1"/>
        </w:rPr>
        <w:t> </w:t>
      </w:r>
      <w:r>
        <w:rPr/>
        <w:t>MD&amp;A</w:t>
      </w:r>
      <w:r>
        <w:rPr>
          <w:spacing w:val="-1"/>
        </w:rPr>
        <w:t> </w:t>
      </w:r>
      <w:r>
        <w:rPr/>
        <w:t>is dated</w:t>
      </w:r>
      <w:r>
        <w:rPr>
          <w:spacing w:val="-2"/>
        </w:rPr>
        <w:t> </w:t>
      </w:r>
      <w:r>
        <w:rPr/>
        <w:t>July 27,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rPr>
          <w:sz w:val="21"/>
        </w:rPr>
      </w:pPr>
    </w:p>
    <w:p>
      <w:pPr>
        <w:pStyle w:val="BodyText"/>
        <w:ind w:left="116" w:right="137"/>
        <w:jc w:val="both"/>
      </w:pP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9"/>
        </w:rPr>
        <w:t> </w:t>
      </w:r>
      <w:r>
        <w:rPr/>
        <w:t>MD&amp;A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read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conjunction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statements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9"/>
        </w:rPr>
        <w:t> </w:t>
      </w:r>
      <w:r>
        <w:rPr/>
        <w:t>year ended March 31, 2023 and 2022 and with the audited consolidated financial statements and the</w:t>
      </w:r>
      <w:r>
        <w:rPr>
          <w:spacing w:val="1"/>
        </w:rPr>
        <w:t> </w:t>
      </w:r>
      <w:r>
        <w:rPr/>
        <w:t>notes</w:t>
      </w:r>
      <w:r>
        <w:rPr>
          <w:spacing w:val="-11"/>
        </w:rPr>
        <w:t> </w:t>
      </w:r>
      <w:r>
        <w:rPr/>
        <w:t>thereto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year</w:t>
      </w:r>
      <w:r>
        <w:rPr>
          <w:spacing w:val="-9"/>
        </w:rPr>
        <w:t> </w:t>
      </w:r>
      <w:r>
        <w:rPr/>
        <w:t>ended</w:t>
      </w:r>
      <w:r>
        <w:rPr>
          <w:spacing w:val="-10"/>
        </w:rPr>
        <w:t> </w:t>
      </w:r>
      <w:r>
        <w:rPr/>
        <w:t>March</w:t>
      </w:r>
      <w:r>
        <w:rPr>
          <w:spacing w:val="-10"/>
        </w:rPr>
        <w:t> </w:t>
      </w:r>
      <w:r>
        <w:rPr/>
        <w:t>31,</w:t>
      </w:r>
      <w:r>
        <w:rPr>
          <w:spacing w:val="-9"/>
        </w:rPr>
        <w:t> </w:t>
      </w:r>
      <w:r>
        <w:rPr/>
        <w:t>2023,</w:t>
      </w:r>
      <w:r>
        <w:rPr>
          <w:spacing w:val="-11"/>
        </w:rPr>
        <w:t> </w:t>
      </w:r>
      <w:r>
        <w:rPr/>
        <w:t>which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prepared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International</w:t>
      </w:r>
      <w:r>
        <w:rPr>
          <w:spacing w:val="-59"/>
        </w:rPr>
        <w:t> </w:t>
      </w:r>
      <w:r>
        <w:rPr>
          <w:spacing w:val="-1"/>
        </w:rPr>
        <w:t>Financial</w:t>
      </w:r>
      <w:r>
        <w:rPr>
          <w:spacing w:val="-14"/>
        </w:rPr>
        <w:t> </w:t>
      </w:r>
      <w:r>
        <w:rPr/>
        <w:t>Reporting</w:t>
      </w:r>
      <w:r>
        <w:rPr>
          <w:spacing w:val="-13"/>
        </w:rPr>
        <w:t> </w:t>
      </w:r>
      <w:r>
        <w:rPr/>
        <w:t>Standards</w:t>
      </w:r>
      <w:r>
        <w:rPr>
          <w:spacing w:val="-15"/>
        </w:rPr>
        <w:t> </w:t>
      </w:r>
      <w:r>
        <w:rPr/>
        <w:t>(</w:t>
      </w:r>
      <w:r>
        <w:rPr>
          <w:rFonts w:ascii="Arial" w:hAnsi="Arial"/>
          <w:b/>
        </w:rPr>
        <w:t>“IFRS”</w:t>
      </w:r>
      <w:r>
        <w:rPr/>
        <w:t>).</w:t>
      </w:r>
      <w:r>
        <w:rPr>
          <w:spacing w:val="-11"/>
        </w:rPr>
        <w:t> </w:t>
      </w:r>
      <w:r>
        <w:rPr/>
        <w:t>Unless</w:t>
      </w:r>
      <w:r>
        <w:rPr>
          <w:spacing w:val="-15"/>
        </w:rPr>
        <w:t> </w:t>
      </w:r>
      <w:r>
        <w:rPr/>
        <w:t>otherwise</w:t>
      </w:r>
      <w:r>
        <w:rPr>
          <w:spacing w:val="-12"/>
        </w:rPr>
        <w:t> </w:t>
      </w:r>
      <w:r>
        <w:rPr/>
        <w:t>noted,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currency</w:t>
      </w:r>
      <w:r>
        <w:rPr>
          <w:spacing w:val="-12"/>
        </w:rPr>
        <w:t> </w:t>
      </w:r>
      <w:r>
        <w:rPr/>
        <w:t>amounts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Canadian</w:t>
      </w:r>
      <w:r>
        <w:rPr>
          <w:spacing w:val="-58"/>
        </w:rPr>
        <w:t> </w:t>
      </w:r>
      <w:r>
        <w:rPr/>
        <w:t>dollars.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3"/>
        <w:jc w:val="both"/>
      </w:pPr>
      <w:r>
        <w:rPr/>
        <w:t>Management is responsible for the information contained in the MD&amp;A and its consistency with</w:t>
      </w:r>
      <w:r>
        <w:rPr>
          <w:spacing w:val="1"/>
        </w:rPr>
        <w:t> </w:t>
      </w:r>
      <w:r>
        <w:rPr/>
        <w:t>information presented, reviewed and approved by the audit committee of the Company (the </w:t>
      </w:r>
      <w:r>
        <w:rPr>
          <w:rFonts w:ascii="Arial" w:hAnsi="Arial"/>
          <w:b/>
        </w:rPr>
        <w:t>“Audit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Committee”</w:t>
      </w:r>
      <w:r>
        <w:rPr/>
        <w:t>) and</w:t>
      </w:r>
      <w:r>
        <w:rPr>
          <w:spacing w:val="-2"/>
        </w:rPr>
        <w:t> </w:t>
      </w:r>
      <w:r>
        <w:rPr/>
        <w:t>board</w:t>
      </w:r>
      <w:r>
        <w:rPr>
          <w:spacing w:val="-2"/>
        </w:rPr>
        <w:t> </w:t>
      </w:r>
      <w:r>
        <w:rPr/>
        <w:t>of directors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Company</w:t>
      </w:r>
      <w:r>
        <w:rPr>
          <w:spacing w:val="1"/>
        </w:rPr>
        <w:t> </w:t>
      </w:r>
      <w:r>
        <w:rPr/>
        <w:t>(the</w:t>
      </w:r>
      <w:r>
        <w:rPr>
          <w:spacing w:val="3"/>
        </w:rPr>
        <w:t> </w:t>
      </w:r>
      <w:r>
        <w:rPr>
          <w:rFonts w:ascii="Arial" w:hAnsi="Arial"/>
          <w:b/>
        </w:rPr>
        <w:t>“Board”</w:t>
      </w:r>
      <w:r>
        <w:rPr/>
        <w:t>).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/>
        <w:t>FORWARD-LOOKING</w:t>
      </w:r>
      <w:r>
        <w:rPr>
          <w:spacing w:val="-15"/>
        </w:rPr>
        <w:t> </w:t>
      </w:r>
      <w:r>
        <w:rPr/>
        <w:t>STATEMENTS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34"/>
        <w:jc w:val="both"/>
      </w:pPr>
      <w:r>
        <w:rPr/>
        <w:t>Certain</w:t>
      </w:r>
      <w:r>
        <w:rPr>
          <w:spacing w:val="-7"/>
        </w:rPr>
        <w:t> </w:t>
      </w:r>
      <w:r>
        <w:rPr/>
        <w:t>statements</w:t>
      </w:r>
      <w:r>
        <w:rPr>
          <w:spacing w:val="-9"/>
        </w:rPr>
        <w:t> </w:t>
      </w:r>
      <w:r>
        <w:rPr/>
        <w:t>contained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MD&amp;A</w:t>
      </w:r>
      <w:r>
        <w:rPr>
          <w:spacing w:val="-7"/>
        </w:rPr>
        <w:t> </w:t>
      </w:r>
      <w:r>
        <w:rPr/>
        <w:t>constitute</w:t>
      </w:r>
      <w:r>
        <w:rPr>
          <w:spacing w:val="-7"/>
        </w:rPr>
        <w:t> </w:t>
      </w:r>
      <w:r>
        <w:rPr/>
        <w:t>forward-looking</w:t>
      </w:r>
      <w:r>
        <w:rPr>
          <w:spacing w:val="-8"/>
        </w:rPr>
        <w:t> </w:t>
      </w:r>
      <w:r>
        <w:rPr/>
        <w:t>statements.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statements</w:t>
      </w:r>
      <w:r>
        <w:rPr>
          <w:spacing w:val="-7"/>
        </w:rPr>
        <w:t> </w:t>
      </w:r>
      <w:r>
        <w:rPr/>
        <w:t>other</w:t>
      </w:r>
      <w:r>
        <w:rPr>
          <w:spacing w:val="-58"/>
        </w:rPr>
        <w:t> </w:t>
      </w:r>
      <w:r>
        <w:rPr/>
        <w:t>than statements of historical fact may be forward-looking statements. Forward-looking statements are</w:t>
      </w:r>
      <w:r>
        <w:rPr>
          <w:spacing w:val="1"/>
        </w:rPr>
        <w:t> </w:t>
      </w:r>
      <w:r>
        <w:rPr/>
        <w:t>often, but not always, identified by the use of words such as “seek”, “anticipate”, “plan”, “continue”,</w:t>
      </w:r>
      <w:r>
        <w:rPr>
          <w:spacing w:val="1"/>
        </w:rPr>
        <w:t> </w:t>
      </w:r>
      <w:r>
        <w:rPr/>
        <w:t>“estimate”,</w:t>
      </w:r>
      <w:r>
        <w:rPr>
          <w:spacing w:val="1"/>
        </w:rPr>
        <w:t> </w:t>
      </w:r>
      <w:r>
        <w:rPr/>
        <w:t>“designed”,</w:t>
      </w:r>
      <w:r>
        <w:rPr>
          <w:spacing w:val="1"/>
        </w:rPr>
        <w:t> </w:t>
      </w:r>
      <w:r>
        <w:rPr/>
        <w:t>“expect”,</w:t>
      </w:r>
      <w:r>
        <w:rPr>
          <w:spacing w:val="1"/>
        </w:rPr>
        <w:t> </w:t>
      </w:r>
      <w:r>
        <w:rPr/>
        <w:t>“may”,</w:t>
      </w:r>
      <w:r>
        <w:rPr>
          <w:spacing w:val="1"/>
        </w:rPr>
        <w:t> </w:t>
      </w:r>
      <w:r>
        <w:rPr/>
        <w:t>“will”,</w:t>
      </w:r>
      <w:r>
        <w:rPr>
          <w:spacing w:val="1"/>
        </w:rPr>
        <w:t> </w:t>
      </w:r>
      <w:r>
        <w:rPr/>
        <w:t>“project”,</w:t>
      </w:r>
      <w:r>
        <w:rPr>
          <w:spacing w:val="1"/>
        </w:rPr>
        <w:t> </w:t>
      </w:r>
      <w:r>
        <w:rPr/>
        <w:t>“predict”,</w:t>
      </w:r>
      <w:r>
        <w:rPr>
          <w:spacing w:val="1"/>
        </w:rPr>
        <w:t> </w:t>
      </w:r>
      <w:r>
        <w:rPr/>
        <w:t>“potential”,</w:t>
      </w:r>
      <w:r>
        <w:rPr>
          <w:spacing w:val="1"/>
        </w:rPr>
        <w:t> </w:t>
      </w:r>
      <w:r>
        <w:rPr/>
        <w:t>“targeting”,</w:t>
      </w:r>
      <w:r>
        <w:rPr>
          <w:spacing w:val="1"/>
        </w:rPr>
        <w:t> </w:t>
      </w:r>
      <w:r>
        <w:rPr/>
        <w:t>“intend”,</w:t>
      </w:r>
      <w:r>
        <w:rPr>
          <w:spacing w:val="-59"/>
        </w:rPr>
        <w:t> </w:t>
      </w:r>
      <w:r>
        <w:rPr/>
        <w:t>“could”, “might”, “should”, “believe” and similar expressions. These statements are subject to a variety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risks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uncertainties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could</w:t>
      </w:r>
      <w:r>
        <w:rPr>
          <w:spacing w:val="-8"/>
        </w:rPr>
        <w:t> </w:t>
      </w:r>
      <w:r>
        <w:rPr/>
        <w:t>cause</w:t>
      </w:r>
      <w:r>
        <w:rPr>
          <w:spacing w:val="-8"/>
        </w:rPr>
        <w:t> </w:t>
      </w:r>
      <w:r>
        <w:rPr/>
        <w:t>actual</w:t>
      </w:r>
      <w:r>
        <w:rPr>
          <w:spacing w:val="-6"/>
        </w:rPr>
        <w:t> </w:t>
      </w:r>
      <w:r>
        <w:rPr/>
        <w:t>events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differ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those</w:t>
      </w:r>
      <w:r>
        <w:rPr>
          <w:spacing w:val="-10"/>
        </w:rPr>
        <w:t> </w:t>
      </w:r>
      <w:r>
        <w:rPr/>
        <w:t>reflected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9"/>
        </w:rPr>
        <w:t> </w:t>
      </w:r>
      <w:r>
        <w:rPr/>
        <w:t>forward-looking statements. Based on current available information, the Company believes that the</w:t>
      </w:r>
      <w:r>
        <w:rPr>
          <w:spacing w:val="1"/>
        </w:rPr>
        <w:t> </w:t>
      </w:r>
      <w:r>
        <w:rPr/>
        <w:t>expectations reflected in those forward-looking statements are reasonable, but no assurance can be</w:t>
      </w:r>
      <w:r>
        <w:rPr>
          <w:spacing w:val="1"/>
        </w:rPr>
        <w:t> </w:t>
      </w:r>
      <w:r>
        <w:rPr/>
        <w:t>given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those</w:t>
      </w:r>
      <w:r>
        <w:rPr>
          <w:spacing w:val="-8"/>
        </w:rPr>
        <w:t> </w:t>
      </w:r>
      <w:r>
        <w:rPr/>
        <w:t>expectations</w:t>
      </w:r>
      <w:r>
        <w:rPr>
          <w:spacing w:val="-7"/>
        </w:rPr>
        <w:t> </w:t>
      </w:r>
      <w:r>
        <w:rPr/>
        <w:t>will</w:t>
      </w:r>
      <w:r>
        <w:rPr>
          <w:spacing w:val="-9"/>
        </w:rPr>
        <w:t> </w:t>
      </w:r>
      <w:r>
        <w:rPr/>
        <w:t>prove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correct.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forward-looking</w:t>
      </w:r>
      <w:r>
        <w:rPr>
          <w:spacing w:val="-12"/>
        </w:rPr>
        <w:t> </w:t>
      </w:r>
      <w:r>
        <w:rPr/>
        <w:t>statements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MD&amp;A</w:t>
      </w:r>
      <w:r>
        <w:rPr>
          <w:spacing w:val="-11"/>
        </w:rPr>
        <w:t> </w:t>
      </w:r>
      <w:r>
        <w:rPr/>
        <w:t>are</w:t>
      </w:r>
      <w:r>
        <w:rPr>
          <w:spacing w:val="-59"/>
        </w:rPr>
        <w:t> </w:t>
      </w:r>
      <w:r>
        <w:rPr/>
        <w:t>expressly qualified by this statement, and readers are advised not to place undue reliance on the</w:t>
      </w:r>
      <w:r>
        <w:rPr>
          <w:spacing w:val="1"/>
        </w:rPr>
        <w:t> </w:t>
      </w:r>
      <w:r>
        <w:rPr/>
        <w:t>forward-looking</w:t>
      </w:r>
      <w:r>
        <w:rPr>
          <w:spacing w:val="-1"/>
        </w:rPr>
        <w:t> </w:t>
      </w:r>
      <w:r>
        <w:rPr/>
        <w:t>statements.</w:t>
      </w:r>
    </w:p>
    <w:p>
      <w:pPr>
        <w:pStyle w:val="BodyText"/>
        <w:rPr>
          <w:sz w:val="21"/>
        </w:rPr>
      </w:pPr>
    </w:p>
    <w:p>
      <w:pPr>
        <w:pStyle w:val="Heading1"/>
      </w:pPr>
      <w:r>
        <w:rPr>
          <w:spacing w:val="-1"/>
        </w:rPr>
        <w:t>DESCRIPTION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BUSINESS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Overview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 w:right="137"/>
        <w:jc w:val="both"/>
      </w:pPr>
      <w:r>
        <w:rPr/>
        <w:t>The Company is incorporated under the laws of the province of British Columbia. PlantX was formerly</w:t>
      </w:r>
      <w:r>
        <w:rPr>
          <w:spacing w:val="-59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exploration</w:t>
      </w:r>
      <w:r>
        <w:rPr>
          <w:spacing w:val="-13"/>
        </w:rPr>
        <w:t> </w:t>
      </w:r>
      <w:r>
        <w:rPr>
          <w:spacing w:val="-1"/>
        </w:rPr>
        <w:t>stage</w:t>
      </w:r>
      <w:r>
        <w:rPr>
          <w:spacing w:val="-14"/>
        </w:rPr>
        <w:t> </w:t>
      </w:r>
      <w:r>
        <w:rPr>
          <w:spacing w:val="-1"/>
        </w:rPr>
        <w:t>company</w:t>
      </w:r>
      <w:r>
        <w:rPr>
          <w:spacing w:val="-13"/>
        </w:rPr>
        <w:t> </w:t>
      </w:r>
      <w:r>
        <w:rPr/>
        <w:t>engaged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7"/>
        </w:rPr>
        <w:t> </w:t>
      </w:r>
      <w:r>
        <w:rPr/>
        <w:t>acquisition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exploration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mineral</w:t>
      </w:r>
      <w:r>
        <w:rPr>
          <w:spacing w:val="-14"/>
        </w:rPr>
        <w:t> </w:t>
      </w:r>
      <w:r>
        <w:rPr/>
        <w:t>resource</w:t>
      </w:r>
      <w:r>
        <w:rPr>
          <w:spacing w:val="-17"/>
        </w:rPr>
        <w:t> </w:t>
      </w:r>
      <w:r>
        <w:rPr/>
        <w:t>properties</w:t>
      </w:r>
      <w:r>
        <w:rPr>
          <w:spacing w:val="-59"/>
        </w:rPr>
        <w:t> </w:t>
      </w:r>
      <w:r>
        <w:rPr/>
        <w:t>in</w:t>
      </w:r>
      <w:r>
        <w:rPr>
          <w:spacing w:val="-1"/>
        </w:rPr>
        <w:t> </w:t>
      </w:r>
      <w:r>
        <w:rPr/>
        <w:t>Canada.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5"/>
        <w:jc w:val="both"/>
      </w:pP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August</w:t>
      </w:r>
      <w:r>
        <w:rPr>
          <w:spacing w:val="-15"/>
        </w:rPr>
        <w:t> </w:t>
      </w:r>
      <w:r>
        <w:rPr>
          <w:spacing w:val="-1"/>
        </w:rPr>
        <w:t>5,</w:t>
      </w:r>
      <w:r>
        <w:rPr>
          <w:spacing w:val="-13"/>
        </w:rPr>
        <w:t> </w:t>
      </w:r>
      <w:r>
        <w:rPr>
          <w:spacing w:val="-1"/>
        </w:rPr>
        <w:t>2020,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completed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acquisition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privately-held</w:t>
      </w:r>
      <w:r>
        <w:rPr>
          <w:spacing w:val="-14"/>
        </w:rPr>
        <w:t> </w:t>
      </w:r>
      <w:r>
        <w:rPr/>
        <w:t>PlantX</w:t>
      </w:r>
      <w:r>
        <w:rPr>
          <w:spacing w:val="-15"/>
        </w:rPr>
        <w:t> </w:t>
      </w:r>
      <w:r>
        <w:rPr/>
        <w:t>Living</w:t>
      </w:r>
      <w:r>
        <w:rPr>
          <w:spacing w:val="-14"/>
        </w:rPr>
        <w:t> </w:t>
      </w:r>
      <w:r>
        <w:rPr/>
        <w:t>Inc.</w:t>
      </w:r>
      <w:r>
        <w:rPr>
          <w:spacing w:val="-15"/>
        </w:rPr>
        <w:t> </w:t>
      </w:r>
      <w:r>
        <w:rPr/>
        <w:t>(formerly</w:t>
      </w:r>
      <w:r>
        <w:rPr>
          <w:spacing w:val="-59"/>
        </w:rPr>
        <w:t> </w:t>
      </w:r>
      <w:r>
        <w:rPr/>
        <w:t>PlantX</w:t>
      </w:r>
      <w:r>
        <w:rPr>
          <w:spacing w:val="-9"/>
        </w:rPr>
        <w:t> </w:t>
      </w:r>
      <w:r>
        <w:rPr/>
        <w:t>Life</w:t>
      </w:r>
      <w:r>
        <w:rPr>
          <w:spacing w:val="-10"/>
        </w:rPr>
        <w:t> </w:t>
      </w:r>
      <w:r>
        <w:rPr/>
        <w:t>Inc.)</w:t>
      </w:r>
      <w:r>
        <w:rPr>
          <w:spacing w:val="-10"/>
        </w:rPr>
        <w:t> </w:t>
      </w:r>
      <w:r>
        <w:rPr/>
        <w:t>(</w:t>
      </w:r>
      <w:r>
        <w:rPr>
          <w:rFonts w:ascii="Arial" w:hAnsi="Arial"/>
          <w:b/>
        </w:rPr>
        <w:t>“PlantX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Living”</w:t>
      </w:r>
      <w:r>
        <w:rPr/>
        <w:t>).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acquisition</w:t>
      </w:r>
      <w:r>
        <w:rPr>
          <w:spacing w:val="-8"/>
        </w:rPr>
        <w:t> </w:t>
      </w:r>
      <w:r>
        <w:rPr/>
        <w:t>constituted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reverse</w:t>
      </w:r>
      <w:r>
        <w:rPr>
          <w:spacing w:val="-10"/>
        </w:rPr>
        <w:t> </w:t>
      </w:r>
      <w:r>
        <w:rPr/>
        <w:t>takeover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and</w:t>
      </w:r>
      <w:r>
        <w:rPr>
          <w:spacing w:val="-59"/>
        </w:rPr>
        <w:t> </w:t>
      </w:r>
      <w:r>
        <w:rPr/>
        <w:t>the Company would carry on the business of PlantX Living (the </w:t>
      </w:r>
      <w:r>
        <w:rPr>
          <w:rFonts w:ascii="Arial" w:hAnsi="Arial"/>
          <w:b/>
        </w:rPr>
        <w:t>“RTO Transaction”</w:t>
      </w:r>
      <w:r>
        <w:rPr/>
        <w:t>). Pursuant to the</w:t>
      </w:r>
      <w:r>
        <w:rPr>
          <w:spacing w:val="-59"/>
        </w:rPr>
        <w:t> </w:t>
      </w:r>
      <w:r>
        <w:rPr/>
        <w:t>RTO</w:t>
      </w:r>
      <w:r>
        <w:rPr>
          <w:spacing w:val="1"/>
        </w:rPr>
        <w:t> </w:t>
      </w:r>
      <w:r>
        <w:rPr/>
        <w:t>Transaction,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“Winston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Inc.”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“Vegaste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Corp.”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6"/>
        <w:jc w:val="both"/>
      </w:pPr>
      <w:r>
        <w:rPr/>
        <w:t>On September 28, 2020, the Company changed its name to “PlantX Life Inc.” PlantX is a reporting</w:t>
      </w:r>
      <w:r>
        <w:rPr>
          <w:spacing w:val="1"/>
        </w:rPr>
        <w:t> </w:t>
      </w:r>
      <w:r>
        <w:rPr/>
        <w:t>issuer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jurisdictions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British</w:t>
      </w:r>
      <w:r>
        <w:rPr>
          <w:spacing w:val="57"/>
        </w:rPr>
        <w:t> </w:t>
      </w:r>
      <w:r>
        <w:rPr/>
        <w:t>Columbia,</w:t>
      </w:r>
      <w:r>
        <w:rPr>
          <w:spacing w:val="54"/>
        </w:rPr>
        <w:t> </w:t>
      </w:r>
      <w:r>
        <w:rPr/>
        <w:t>Alberta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Ontario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lists</w:t>
      </w:r>
      <w:r>
        <w:rPr>
          <w:spacing w:val="57"/>
        </w:rPr>
        <w:t> </w:t>
      </w:r>
      <w:r>
        <w:rPr/>
        <w:t>its</w:t>
      </w:r>
      <w:r>
        <w:rPr>
          <w:spacing w:val="54"/>
        </w:rPr>
        <w:t> </w:t>
      </w:r>
      <w:r>
        <w:rPr/>
        <w:t>common</w:t>
      </w:r>
      <w:r>
        <w:rPr>
          <w:spacing w:val="56"/>
        </w:rPr>
        <w:t> </w:t>
      </w:r>
      <w:r>
        <w:rPr/>
        <w:t>shares</w:t>
      </w:r>
    </w:p>
    <w:p>
      <w:pPr>
        <w:spacing w:after="0"/>
        <w:jc w:val="both"/>
        <w:sectPr>
          <w:headerReference w:type="default" r:id="rId6"/>
          <w:footerReference w:type="default" r:id="rId7"/>
          <w:pgSz w:w="12240" w:h="15840"/>
          <w:pgMar w:header="715" w:footer="1512" w:top="1860" w:bottom="1700" w:left="1040" w:right="1020"/>
          <w:pgNumType w:start="2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29152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7"/>
        <w:jc w:val="both"/>
      </w:pPr>
      <w:r>
        <w:rPr/>
        <w:t>(</w:t>
      </w:r>
      <w:r>
        <w:rPr>
          <w:rFonts w:ascii="Arial" w:hAnsi="Arial"/>
          <w:b/>
        </w:rPr>
        <w:t>“Common Shares”</w:t>
      </w:r>
      <w:r>
        <w:rPr/>
        <w:t>) for trading on the Canadian Securities Exchange (“</w:t>
      </w:r>
      <w:r>
        <w:rPr>
          <w:rFonts w:ascii="Arial" w:hAnsi="Arial"/>
          <w:b/>
        </w:rPr>
        <w:t>CSE</w:t>
      </w:r>
      <w:r>
        <w:rPr/>
        <w:t>”) under the symbol</w:t>
      </w:r>
      <w:r>
        <w:rPr>
          <w:spacing w:val="1"/>
        </w:rPr>
        <w:t> </w:t>
      </w:r>
      <w:r>
        <w:rPr/>
        <w:t>“VEGA”, on the OTCQB® Venture Market under the symbol “PLTXF” and on the Frankfurt Stock</w:t>
      </w:r>
      <w:r>
        <w:rPr>
          <w:spacing w:val="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symbol “WNT1”.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4"/>
        <w:jc w:val="both"/>
      </w:pPr>
      <w:r>
        <w:rPr/>
        <w:t>The head office of the Company is located at 504-100 Park Royal South, West Vancouver, BC, V7T</w:t>
      </w:r>
      <w:r>
        <w:rPr>
          <w:spacing w:val="1"/>
        </w:rPr>
        <w:t> </w:t>
      </w:r>
      <w:r>
        <w:rPr/>
        <w:t>1A2, Canada.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Strategy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ind w:left="116" w:right="134"/>
        <w:jc w:val="both"/>
      </w:pPr>
      <w:r>
        <w:rPr/>
        <w:t>PlantX is primarily an e-commerce company specializing in an extensive range of plant-based brands,</w:t>
      </w:r>
      <w:r>
        <w:rPr>
          <w:spacing w:val="-59"/>
        </w:rPr>
        <w:t> </w:t>
      </w:r>
      <w:r>
        <w:rPr/>
        <w:t>available on its comprehensive "one-stop shop for everything plant-based" online platforms. The</w:t>
      </w:r>
      <w:r>
        <w:rPr>
          <w:spacing w:val="1"/>
        </w:rPr>
        <w:t> </w:t>
      </w:r>
      <w:r>
        <w:rPr/>
        <w:t>Company’s e-commerce channels serve as a trusted source for high-quality plant-based products,</w:t>
      </w:r>
      <w:r>
        <w:rPr>
          <w:spacing w:val="1"/>
        </w:rPr>
        <w:t> </w:t>
      </w:r>
      <w:r>
        <w:rPr/>
        <w:t>encompassing groceries, ingredients, food and beverages, cosmetics, pet foods, and plants. With a</w:t>
      </w:r>
      <w:r>
        <w:rPr>
          <w:spacing w:val="1"/>
        </w:rPr>
        <w:t> </w:t>
      </w:r>
      <w:r>
        <w:rPr/>
        <w:t>remarkable selection, PlantX offers more than 5,000 plant-based products to customers throughout</w:t>
      </w:r>
      <w:r>
        <w:rPr>
          <w:spacing w:val="1"/>
        </w:rPr>
        <w:t> </w:t>
      </w:r>
      <w:r>
        <w:rPr/>
        <w:t>North</w:t>
      </w:r>
      <w:r>
        <w:rPr>
          <w:spacing w:val="-1"/>
        </w:rPr>
        <w:t> </w:t>
      </w:r>
      <w:r>
        <w:rPr/>
        <w:t>America</w:t>
      </w:r>
      <w:r>
        <w:rPr>
          <w:spacing w:val="-3"/>
        </w:rPr>
        <w:t> </w:t>
      </w:r>
      <w:r>
        <w:rPr/>
        <w:t>via its</w:t>
      </w:r>
      <w:r>
        <w:rPr>
          <w:spacing w:val="-1"/>
        </w:rPr>
        <w:t> </w:t>
      </w:r>
      <w:r>
        <w:rPr/>
        <w:t>e-commerce websites.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6"/>
        <w:jc w:val="both"/>
      </w:pPr>
      <w:r>
        <w:rPr/>
        <w:t>Operating under a direct shipping model, PlantX seamlessly facilitates the delivery of goods directly</w:t>
      </w:r>
      <w:r>
        <w:rPr>
          <w:spacing w:val="1"/>
        </w:rPr>
        <w:t> </w:t>
      </w:r>
      <w:r>
        <w:rPr/>
        <w:t>from its warehouses to end-point consumers. This streamlined approach ensures a swift and efficient</w:t>
      </w:r>
      <w:r>
        <w:rPr>
          <w:spacing w:val="1"/>
        </w:rPr>
        <w:t> </w:t>
      </w:r>
      <w:r>
        <w:rPr/>
        <w:t>process for customers who place orders. Additionally, PlantX proudly serves as a reliable shipping</w:t>
      </w:r>
      <w:r>
        <w:rPr>
          <w:spacing w:val="1"/>
        </w:rPr>
        <w:t> </w:t>
      </w:r>
      <w:r>
        <w:rPr/>
        <w:t>fulfillment solution for renowned plant-based brands that face logistical challenges. By redirecting their</w:t>
      </w:r>
      <w:r>
        <w:rPr>
          <w:spacing w:val="-59"/>
        </w:rPr>
        <w:t> </w:t>
      </w:r>
      <w:r>
        <w:rPr/>
        <w:t>websites to PlantX.com, the company benefits from increased search engine optimization (SEO) and</w:t>
      </w:r>
      <w:r>
        <w:rPr>
          <w:spacing w:val="1"/>
        </w:rPr>
        <w:t> </w:t>
      </w:r>
      <w:r>
        <w:rPr/>
        <w:t>enhanced</w:t>
      </w:r>
      <w:r>
        <w:rPr>
          <w:spacing w:val="-4"/>
        </w:rPr>
        <w:t> </w:t>
      </w:r>
      <w:r>
        <w:rPr/>
        <w:t>website</w:t>
      </w:r>
      <w:r>
        <w:rPr>
          <w:spacing w:val="-4"/>
        </w:rPr>
        <w:t> </w:t>
      </w:r>
      <w:r>
        <w:rPr/>
        <w:t>sales,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while</w:t>
      </w:r>
      <w:r>
        <w:rPr>
          <w:spacing w:val="-1"/>
        </w:rPr>
        <w:t> </w:t>
      </w:r>
      <w:r>
        <w:rPr/>
        <w:t>leveraging</w:t>
      </w:r>
      <w:r>
        <w:rPr>
          <w:spacing w:val="-4"/>
        </w:rPr>
        <w:t> </w:t>
      </w:r>
      <w:r>
        <w:rPr/>
        <w:t>outside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cost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PlantX.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16" w:right="134"/>
        <w:jc w:val="both"/>
      </w:pPr>
      <w:r>
        <w:rPr/>
        <w:t>Additionally, the Company, under its wholly-owned subsidiary Bloomboxclub Limited (</w:t>
      </w:r>
      <w:r>
        <w:rPr>
          <w:rFonts w:ascii="Arial" w:hAnsi="Arial"/>
          <w:b/>
        </w:rPr>
        <w:t>“Bloombox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Club”</w:t>
      </w:r>
      <w:r>
        <w:rPr/>
        <w:t>), also operates its business relevant to Bloombox Club using a supply-chain management</w:t>
      </w:r>
      <w:r>
        <w:rPr>
          <w:spacing w:val="1"/>
        </w:rPr>
        <w:t> </w:t>
      </w:r>
      <w:r>
        <w:rPr/>
        <w:t>system known as “dropshipping”</w:t>
      </w:r>
      <w:r>
        <w:rPr>
          <w:spacing w:val="1"/>
        </w:rPr>
        <w:t> </w:t>
      </w:r>
      <w:r>
        <w:rPr/>
        <w:t>whereby Bloombox Club facilitates the delivery of the goods from a</w:t>
      </w:r>
      <w:r>
        <w:rPr>
          <w:spacing w:val="1"/>
        </w:rPr>
        <w:t> </w:t>
      </w:r>
      <w:r>
        <w:rPr/>
        <w:t>third-party manufacturer to a third party distributor and then to the end-point consumer who places the</w:t>
      </w:r>
      <w:r>
        <w:rPr>
          <w:spacing w:val="-59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Dropshipping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Bloombox</w:t>
      </w:r>
      <w:r>
        <w:rPr>
          <w:spacing w:val="1"/>
        </w:rPr>
        <w:t> </w:t>
      </w:r>
      <w:r>
        <w:rPr/>
        <w:t>Club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inventory.</w:t>
      </w:r>
      <w:r>
        <w:rPr>
          <w:spacing w:val="1"/>
        </w:rPr>
        <w:t> </w:t>
      </w:r>
      <w:r>
        <w:rPr/>
        <w:t>Strategically,</w:t>
      </w:r>
      <w:r>
        <w:rPr>
          <w:spacing w:val="1"/>
        </w:rPr>
        <w:t> </w:t>
      </w:r>
      <w:r>
        <w:rPr/>
        <w:t>dropshipping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and</w:t>
      </w:r>
      <w:r>
        <w:rPr>
          <w:spacing w:val="-59"/>
        </w:rPr>
        <w:t> </w:t>
      </w:r>
      <w:r>
        <w:rPr/>
        <w:t>inventory, thus maximizing margins and, ultimately, net profit. During the year ended March 31, 2023,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verticals,</w:t>
      </w:r>
      <w:r>
        <w:rPr>
          <w:spacing w:val="1"/>
        </w:rPr>
        <w:t> </w:t>
      </w:r>
      <w:r>
        <w:rPr/>
        <w:t>including,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to,</w:t>
      </w:r>
      <w:r>
        <w:rPr>
          <w:spacing w:val="-59"/>
        </w:rPr>
        <w:t> </w:t>
      </w:r>
      <w:r>
        <w:rPr/>
        <w:t>Bloombox Club,</w:t>
      </w:r>
      <w:r>
        <w:rPr>
          <w:spacing w:val="2"/>
        </w:rPr>
        <w:t> </w:t>
      </w:r>
      <w:r>
        <w:rPr/>
        <w:t>XMarket</w:t>
      </w:r>
      <w:r>
        <w:rPr>
          <w:spacing w:val="-1"/>
        </w:rPr>
        <w:t> </w:t>
      </w:r>
      <w:r>
        <w:rPr/>
        <w:t>Chicago and Little</w:t>
      </w:r>
      <w:r>
        <w:rPr>
          <w:spacing w:val="-2"/>
        </w:rPr>
        <w:t> </w:t>
      </w:r>
      <w:r>
        <w:rPr/>
        <w:t>West.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7"/>
        <w:jc w:val="both"/>
      </w:pPr>
      <w:r>
        <w:rPr>
          <w:spacing w:val="-1"/>
        </w:rPr>
        <w:t>During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year</w:t>
      </w:r>
      <w:r>
        <w:rPr>
          <w:spacing w:val="-15"/>
        </w:rPr>
        <w:t> </w:t>
      </w:r>
      <w:r>
        <w:rPr>
          <w:spacing w:val="-1"/>
        </w:rPr>
        <w:t>ended</w:t>
      </w:r>
      <w:r>
        <w:rPr>
          <w:spacing w:val="-15"/>
        </w:rPr>
        <w:t> </w:t>
      </w:r>
      <w:r>
        <w:rPr>
          <w:spacing w:val="-1"/>
        </w:rPr>
        <w:t>March</w:t>
      </w:r>
      <w:r>
        <w:rPr>
          <w:spacing w:val="-13"/>
        </w:rPr>
        <w:t> </w:t>
      </w:r>
      <w:r>
        <w:rPr>
          <w:spacing w:val="-1"/>
        </w:rPr>
        <w:t>31,</w:t>
      </w:r>
      <w:r>
        <w:rPr>
          <w:spacing w:val="-15"/>
        </w:rPr>
        <w:t> </w:t>
      </w:r>
      <w:r>
        <w:rPr>
          <w:spacing w:val="-1"/>
        </w:rPr>
        <w:t>2023,</w:t>
      </w:r>
      <w:r>
        <w:rPr>
          <w:spacing w:val="32"/>
        </w:rPr>
        <w:t> </w:t>
      </w:r>
      <w:r>
        <w:rPr/>
        <w:t>the</w:t>
      </w:r>
      <w:r>
        <w:rPr>
          <w:spacing w:val="-17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placed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significant</w:t>
      </w:r>
      <w:r>
        <w:rPr>
          <w:spacing w:val="-15"/>
        </w:rPr>
        <w:t> </w:t>
      </w:r>
      <w:r>
        <w:rPr/>
        <w:t>focus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bolstering</w:t>
      </w:r>
      <w:r>
        <w:rPr>
          <w:spacing w:val="-14"/>
        </w:rPr>
        <w:t> </w:t>
      </w:r>
      <w:r>
        <w:rPr/>
        <w:t>profitability</w:t>
      </w:r>
      <w:r>
        <w:rPr>
          <w:spacing w:val="-58"/>
        </w:rPr>
        <w:t> </w:t>
      </w:r>
      <w:r>
        <w:rPr/>
        <w:t>by nurturing its high-growth sectors and making necessary adjustments to underperforming business</w:t>
      </w:r>
      <w:r>
        <w:rPr>
          <w:spacing w:val="1"/>
        </w:rPr>
        <w:t> </w:t>
      </w:r>
      <w:r>
        <w:rPr/>
        <w:t>units that</w:t>
      </w:r>
      <w:r>
        <w:rPr>
          <w:spacing w:val="-1"/>
        </w:rPr>
        <w:t> </w:t>
      </w:r>
      <w:r>
        <w:rPr/>
        <w:t>didn't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stringent</w:t>
      </w:r>
      <w:r>
        <w:rPr>
          <w:spacing w:val="-3"/>
        </w:rPr>
        <w:t> </w:t>
      </w:r>
      <w:r>
        <w:rPr/>
        <w:t>margin</w:t>
      </w:r>
      <w:r>
        <w:rPr>
          <w:spacing w:val="-2"/>
        </w:rPr>
        <w:t> </w:t>
      </w:r>
      <w:r>
        <w:rPr/>
        <w:t>thresholds.</w:t>
      </w:r>
    </w:p>
    <w:p>
      <w:pPr>
        <w:pStyle w:val="BodyText"/>
        <w:rPr>
          <w:sz w:val="26"/>
        </w:rPr>
      </w:pPr>
    </w:p>
    <w:p>
      <w:pPr>
        <w:pStyle w:val="BodyText"/>
        <w:ind w:left="116" w:right="136"/>
        <w:jc w:val="both"/>
      </w:pPr>
      <w:r>
        <w:rPr/>
        <w:t>To optimize operations, the company made the strategic decision to close two Canadian locations</w:t>
      </w:r>
      <w:r>
        <w:rPr>
          <w:spacing w:val="1"/>
        </w:rPr>
        <w:t> </w:t>
      </w:r>
      <w:r>
        <w:rPr/>
        <w:t>inside the Hudson’s Bay (Yorkdale, Toronto and Rideau Ottawa) due to insufficient foot traffic. All</w:t>
      </w:r>
      <w:r>
        <w:rPr>
          <w:spacing w:val="1"/>
        </w:rPr>
        <w:t> </w:t>
      </w:r>
      <w:r>
        <w:rPr/>
        <w:t>inventory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stores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transferred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Chicago</w:t>
      </w:r>
      <w:r>
        <w:rPr>
          <w:spacing w:val="-10"/>
        </w:rPr>
        <w:t> </w:t>
      </w:r>
      <w:r>
        <w:rPr/>
        <w:t>warehouse,</w:t>
      </w:r>
      <w:r>
        <w:rPr>
          <w:spacing w:val="-14"/>
        </w:rPr>
        <w:t> </w:t>
      </w:r>
      <w:r>
        <w:rPr/>
        <w:t>making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purchase</w:t>
      </w:r>
      <w:r>
        <w:rPr>
          <w:spacing w:val="-59"/>
        </w:rPr>
        <w:t> </w:t>
      </w:r>
      <w:r>
        <w:rPr/>
        <w:t>on both PlantX.com and VeganEssentials.com. Additionally, the equipment from these locations was</w:t>
      </w:r>
      <w:r>
        <w:rPr>
          <w:spacing w:val="1"/>
        </w:rPr>
        <w:t> </w:t>
      </w:r>
      <w:r>
        <w:rPr/>
        <w:t>repurposed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 XMarket</w:t>
      </w:r>
      <w:r>
        <w:rPr>
          <w:spacing w:val="1"/>
        </w:rPr>
        <w:t> </w:t>
      </w:r>
      <w:r>
        <w:rPr/>
        <w:t>uptown store.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16" w:right="137"/>
        <w:jc w:val="both"/>
      </w:pPr>
      <w:r>
        <w:rPr/>
        <w:t>XMarket Uptown is currently undergoing construction as the company embarks on the creation of</w:t>
      </w:r>
      <w:r>
        <w:rPr>
          <w:spacing w:val="1"/>
        </w:rPr>
        <w:t> </w:t>
      </w:r>
      <w:r>
        <w:rPr/>
        <w:t>Chicago's pioneering Vegan Foodhall. With all necessary permits obtained and successful inspections</w:t>
      </w:r>
      <w:r>
        <w:rPr>
          <w:spacing w:val="-59"/>
        </w:rPr>
        <w:t> </w:t>
      </w:r>
      <w:r>
        <w:rPr/>
        <w:t>completed,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highly</w:t>
      </w:r>
      <w:r>
        <w:rPr>
          <w:spacing w:val="20"/>
        </w:rPr>
        <w:t> </w:t>
      </w:r>
      <w:r>
        <w:rPr/>
        <w:t>anticipated</w:t>
      </w:r>
      <w:r>
        <w:rPr>
          <w:spacing w:val="19"/>
        </w:rPr>
        <w:t> </w:t>
      </w:r>
      <w:r>
        <w:rPr/>
        <w:t>opening</w:t>
      </w:r>
      <w:r>
        <w:rPr>
          <w:spacing w:val="23"/>
        </w:rPr>
        <w:t> </w:t>
      </w:r>
      <w:r>
        <w:rPr/>
        <w:t>is</w:t>
      </w:r>
      <w:r>
        <w:rPr>
          <w:spacing w:val="20"/>
        </w:rPr>
        <w:t> </w:t>
      </w:r>
      <w:r>
        <w:rPr/>
        <w:t>scheduled</w:t>
      </w:r>
      <w:r>
        <w:rPr>
          <w:spacing w:val="22"/>
        </w:rPr>
        <w:t> </w:t>
      </w:r>
      <w:r>
        <w:rPr/>
        <w:t>around</w:t>
      </w:r>
      <w:r>
        <w:rPr>
          <w:spacing w:val="19"/>
        </w:rPr>
        <w:t> </w:t>
      </w:r>
      <w:r>
        <w:rPr/>
        <w:t>Labor</w:t>
      </w:r>
      <w:r>
        <w:rPr>
          <w:spacing w:val="22"/>
        </w:rPr>
        <w:t> </w:t>
      </w:r>
      <w:r>
        <w:rPr/>
        <w:t>Day.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Vegan</w:t>
      </w:r>
      <w:r>
        <w:rPr>
          <w:spacing w:val="19"/>
        </w:rPr>
        <w:t> </w:t>
      </w:r>
      <w:r>
        <w:rPr/>
        <w:t>Foodhall</w:t>
      </w:r>
      <w:r>
        <w:rPr>
          <w:spacing w:val="19"/>
        </w:rPr>
        <w:t> </w:t>
      </w:r>
      <w:r>
        <w:rPr/>
        <w:t>will</w:t>
      </w:r>
    </w:p>
    <w:p>
      <w:pPr>
        <w:spacing w:after="0"/>
        <w:jc w:val="both"/>
        <w:sectPr>
          <w:pgSz w:w="12240" w:h="15840"/>
          <w:pgMar w:header="715" w:footer="1512" w:top="1860" w:bottom="170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29664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43"/>
        <w:jc w:val="both"/>
      </w:pPr>
      <w:r>
        <w:rPr/>
        <w:t>showcase six local vegan restaurants, accompanied by a coffee shop run by PlantX's Portfolio Coffee</w:t>
      </w:r>
      <w:r>
        <w:rPr>
          <w:spacing w:val="-59"/>
        </w:rPr>
        <w:t> </w:t>
      </w:r>
      <w:r>
        <w:rPr/>
        <w:t>brand,</w:t>
      </w:r>
      <w:r>
        <w:rPr>
          <w:spacing w:val="-2"/>
        </w:rPr>
        <w:t> </w:t>
      </w:r>
      <w:r>
        <w:rPr/>
        <w:t>and a</w:t>
      </w:r>
      <w:r>
        <w:rPr>
          <w:spacing w:val="-3"/>
        </w:rPr>
        <w:t> </w:t>
      </w:r>
      <w:r>
        <w:rPr/>
        <w:t>fully</w:t>
      </w:r>
      <w:r>
        <w:rPr>
          <w:spacing w:val="1"/>
        </w:rPr>
        <w:t> </w:t>
      </w:r>
      <w:r>
        <w:rPr/>
        <w:t>licensed</w:t>
      </w:r>
      <w:r>
        <w:rPr>
          <w:spacing w:val="-1"/>
        </w:rPr>
        <w:t> </w:t>
      </w:r>
      <w:r>
        <w:rPr/>
        <w:t>bar</w:t>
      </w:r>
      <w:r>
        <w:rPr>
          <w:spacing w:val="-1"/>
        </w:rPr>
        <w:t> </w:t>
      </w:r>
      <w:r>
        <w:rPr/>
        <w:t>offering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extensive</w:t>
      </w:r>
      <w:r>
        <w:rPr>
          <w:spacing w:val="-1"/>
        </w:rPr>
        <w:t> </w:t>
      </w:r>
      <w:r>
        <w:rPr/>
        <w:t>selection of</w:t>
      </w:r>
      <w:r>
        <w:rPr>
          <w:spacing w:val="-2"/>
        </w:rPr>
        <w:t> </w:t>
      </w:r>
      <w:r>
        <w:rPr/>
        <w:t>vegan-friendly</w:t>
      </w:r>
      <w:r>
        <w:rPr>
          <w:spacing w:val="1"/>
        </w:rPr>
        <w:t> </w:t>
      </w:r>
      <w:r>
        <w:rPr/>
        <w:t>beverages.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6" w:right="139"/>
        <w:jc w:val="both"/>
      </w:pPr>
      <w:r>
        <w:rPr/>
        <w:t>In an effort to enhance efficiency and customer experience, the company consolidated XMarket</w:t>
      </w:r>
      <w:r>
        <w:rPr>
          <w:spacing w:val="1"/>
        </w:rPr>
        <w:t> </w:t>
      </w:r>
      <w:r>
        <w:rPr/>
        <w:t>Squamish and the Cloudburst Coffee shop at the Locavore Bar and Grill. This move allowed for the</w:t>
      </w:r>
      <w:r>
        <w:rPr>
          <w:spacing w:val="1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lounge</w:t>
      </w:r>
      <w:r>
        <w:rPr>
          <w:spacing w:val="-4"/>
        </w:rPr>
        <w:t> </w:t>
      </w:r>
      <w:r>
        <w:rPr/>
        <w:t>area,</w:t>
      </w:r>
      <w:r>
        <w:rPr>
          <w:spacing w:val="-2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customers 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inviting</w:t>
      </w:r>
      <w:r>
        <w:rPr>
          <w:spacing w:val="-3"/>
        </w:rPr>
        <w:t> </w:t>
      </w:r>
      <w:r>
        <w:rPr/>
        <w:t>space to</w:t>
      </w:r>
      <w:r>
        <w:rPr>
          <w:spacing w:val="-3"/>
        </w:rPr>
        <w:t> </w:t>
      </w:r>
      <w:r>
        <w:rPr/>
        <w:t>spend</w:t>
      </w:r>
      <w:r>
        <w:rPr>
          <w:spacing w:val="-5"/>
        </w:rPr>
        <w:t> </w:t>
      </w:r>
      <w:r>
        <w:rPr/>
        <w:t>time</w:t>
      </w:r>
      <w:r>
        <w:rPr>
          <w:spacing w:val="-3"/>
        </w:rPr>
        <w:t> </w:t>
      </w:r>
      <w:r>
        <w:rPr/>
        <w:t>onsite.</w:t>
      </w:r>
      <w:r>
        <w:rPr>
          <w:spacing w:val="-1"/>
        </w:rPr>
        <w:t> </w:t>
      </w:r>
      <w:r>
        <w:rPr/>
        <w:t>As</w:t>
      </w:r>
      <w:r>
        <w:rPr>
          <w:spacing w:val="-59"/>
        </w:rPr>
        <w:t> </w:t>
      </w:r>
      <w:r>
        <w:rPr/>
        <w:t>a result, daily sales increased, and the company gained additional revenue opportunities through</w:t>
      </w:r>
      <w:r>
        <w:rPr>
          <w:spacing w:val="1"/>
        </w:rPr>
        <w:t> </w:t>
      </w:r>
      <w:r>
        <w:rPr/>
        <w:t>hosting</w:t>
      </w:r>
      <w:r>
        <w:rPr>
          <w:spacing w:val="-1"/>
        </w:rPr>
        <w:t> </w:t>
      </w:r>
      <w:r>
        <w:rPr/>
        <w:t>private events.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6" w:right="142"/>
        <w:jc w:val="both"/>
      </w:pPr>
      <w:r>
        <w:rPr/>
        <w:t>The</w:t>
      </w:r>
      <w:r>
        <w:rPr>
          <w:spacing w:val="1"/>
        </w:rPr>
        <w:t> </w:t>
      </w:r>
      <w:r>
        <w:rPr/>
        <w:t>company's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BloomBox Club. The team size was reduced from 30 to 4 employees, positioning</w:t>
      </w:r>
      <w:r>
        <w:rPr>
          <w:spacing w:val="1"/>
        </w:rPr>
        <w:t> </w:t>
      </w:r>
      <w:r>
        <w:rPr/>
        <w:t>BloomBox</w:t>
      </w:r>
      <w:r>
        <w:rPr>
          <w:spacing w:val="-1"/>
        </w:rPr>
        <w:t> </w:t>
      </w:r>
      <w:r>
        <w:rPr/>
        <w:t>Club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verge of</w:t>
      </w:r>
      <w:r>
        <w:rPr>
          <w:spacing w:val="1"/>
        </w:rPr>
        <w:t> </w:t>
      </w:r>
      <w:r>
        <w:rPr/>
        <w:t>achieving profitability.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6" w:right="134"/>
        <w:jc w:val="both"/>
      </w:pPr>
      <w:r>
        <w:rPr/>
        <w:t>With the addition of Chris Dodigovic overseeing operations, the company's cold-pressed juice vertical,</w:t>
      </w:r>
      <w:r>
        <w:rPr>
          <w:spacing w:val="-59"/>
        </w:rPr>
        <w:t> </w:t>
      </w:r>
      <w:r>
        <w:rPr/>
        <w:t>Little West, experienced continued expansion. Under Chris's leadership, Little West successfully</w:t>
      </w:r>
      <w:r>
        <w:rPr>
          <w:spacing w:val="1"/>
        </w:rPr>
        <w:t> </w:t>
      </w:r>
      <w:r>
        <w:rPr/>
        <w:t>expanded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California,</w:t>
      </w:r>
      <w:r>
        <w:rPr>
          <w:spacing w:val="-2"/>
        </w:rPr>
        <w:t> </w:t>
      </w:r>
      <w:r>
        <w:rPr/>
        <w:t>Nevada,</w:t>
      </w:r>
      <w:r>
        <w:rPr>
          <w:spacing w:val="-5"/>
        </w:rPr>
        <w:t> </w:t>
      </w:r>
      <w:r>
        <w:rPr/>
        <w:t>Montana,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structured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deal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/>
        <w:t>Dr.</w:t>
      </w:r>
      <w:r>
        <w:rPr>
          <w:spacing w:val="-7"/>
        </w:rPr>
        <w:t> </w:t>
      </w:r>
      <w:r>
        <w:rPr/>
        <w:t>Munsch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bring</w:t>
      </w:r>
      <w:r>
        <w:rPr>
          <w:spacing w:val="-4"/>
        </w:rPr>
        <w:t> </w:t>
      </w:r>
      <w:r>
        <w:rPr/>
        <w:t>the</w:t>
      </w:r>
      <w:r>
        <w:rPr>
          <w:spacing w:val="-59"/>
        </w:rPr>
        <w:t> </w:t>
      </w:r>
      <w:r>
        <w:rPr/>
        <w:t>juices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 East</w:t>
      </w:r>
      <w:r>
        <w:rPr>
          <w:spacing w:val="2"/>
        </w:rPr>
        <w:t> </w:t>
      </w:r>
      <w:r>
        <w:rPr/>
        <w:t>Coast.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16" w:right="137"/>
        <w:jc w:val="both"/>
      </w:pPr>
      <w:r>
        <w:rPr/>
        <w:t>The Venice Beach location continued to experience growth and excitement through successful popup</w:t>
      </w:r>
      <w:r>
        <w:rPr>
          <w:spacing w:val="1"/>
        </w:rPr>
        <w:t> </w:t>
      </w:r>
      <w:r>
        <w:rPr/>
        <w:t>initiatives. Notably, TiNDLE extended its 3-month popup for an additional 3 months, further driving</w:t>
      </w:r>
      <w:r>
        <w:rPr>
          <w:spacing w:val="1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engagement</w:t>
      </w:r>
      <w:r>
        <w:rPr>
          <w:spacing w:val="2"/>
        </w:rPr>
        <w:t> </w:t>
      </w:r>
      <w:r>
        <w:rPr/>
        <w:t>and sales.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16" w:right="135"/>
        <w:jc w:val="both"/>
      </w:pPr>
      <w:r>
        <w:rPr/>
        <w:t>In terms of e-commerce, the company further strengthened its relationship with KEHE. Leveraging</w:t>
      </w:r>
      <w:r>
        <w:rPr>
          <w:spacing w:val="1"/>
        </w:rPr>
        <w:t> </w:t>
      </w:r>
      <w:r>
        <w:rPr/>
        <w:t>KEHE's</w:t>
      </w:r>
      <w:r>
        <w:rPr>
          <w:spacing w:val="-10"/>
        </w:rPr>
        <w:t> </w:t>
      </w:r>
      <w:r>
        <w:rPr/>
        <w:t>inventory,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offered</w:t>
      </w:r>
      <w:r>
        <w:rPr>
          <w:spacing w:val="-11"/>
        </w:rPr>
        <w:t> </w:t>
      </w:r>
      <w:r>
        <w:rPr/>
        <w:t>consumers</w:t>
      </w:r>
      <w:r>
        <w:rPr>
          <w:spacing w:val="-10"/>
        </w:rPr>
        <w:t> </w:t>
      </w:r>
      <w:r>
        <w:rPr/>
        <w:t>case</w:t>
      </w:r>
      <w:r>
        <w:rPr>
          <w:spacing w:val="-11"/>
        </w:rPr>
        <w:t> </w:t>
      </w:r>
      <w:r>
        <w:rPr/>
        <w:t>packs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every</w:t>
      </w:r>
      <w:r>
        <w:rPr>
          <w:spacing w:val="-9"/>
        </w:rPr>
        <w:t> </w:t>
      </w:r>
      <w:r>
        <w:rPr/>
        <w:t>single</w:t>
      </w:r>
      <w:r>
        <w:rPr>
          <w:spacing w:val="-10"/>
        </w:rPr>
        <w:t> </w:t>
      </w:r>
      <w:r>
        <w:rPr/>
        <w:t>plant-based</w:t>
      </w:r>
      <w:r>
        <w:rPr>
          <w:spacing w:val="-11"/>
        </w:rPr>
        <w:t> </w:t>
      </w:r>
      <w:r>
        <w:rPr/>
        <w:t>item</w:t>
      </w:r>
      <w:r>
        <w:rPr>
          <w:spacing w:val="-12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by KEHE, including frozen and refrigerated products. This offering, in addition to the company's own</w:t>
      </w:r>
      <w:r>
        <w:rPr>
          <w:spacing w:val="1"/>
        </w:rPr>
        <w:t> </w:t>
      </w:r>
      <w:r>
        <w:rPr/>
        <w:t>curated assortment of vegan products shipped from the Chicago warehouse, contributed to increased</w:t>
      </w:r>
      <w:r>
        <w:rPr>
          <w:spacing w:val="-59"/>
        </w:rPr>
        <w:t> </w:t>
      </w:r>
      <w:r>
        <w:rPr/>
        <w:t>sales</w:t>
      </w:r>
      <w:r>
        <w:rPr>
          <w:spacing w:val="-1"/>
        </w:rPr>
        <w:t> </w:t>
      </w:r>
      <w:r>
        <w:rPr/>
        <w:t>and customer</w:t>
      </w:r>
      <w:r>
        <w:rPr>
          <w:spacing w:val="-1"/>
        </w:rPr>
        <w:t> </w:t>
      </w:r>
      <w:r>
        <w:rPr/>
        <w:t>satisfaction.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6" w:right="133"/>
        <w:jc w:val="both"/>
      </w:pPr>
      <w:r>
        <w:rPr/>
        <w:t>Geo Lopez was promoted to logistics manager at the Chicago warehouse. Geo's expertise in shipping</w:t>
      </w:r>
      <w:r>
        <w:rPr>
          <w:spacing w:val="-59"/>
        </w:rPr>
        <w:t> </w:t>
      </w:r>
      <w:r>
        <w:rPr/>
        <w:t>cold products and his ability to source materials at the lowest possible costs played a crucial role 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forges</w:t>
      </w:r>
      <w:r>
        <w:rPr>
          <w:spacing w:val="1"/>
        </w:rPr>
        <w:t> </w:t>
      </w:r>
      <w:r>
        <w:rPr/>
        <w:t>ahead,</w:t>
      </w:r>
      <w:r>
        <w:rPr>
          <w:spacing w:val="-59"/>
        </w:rPr>
        <w:t> </w:t>
      </w:r>
      <w:r>
        <w:rPr/>
        <w:t>profitability</w:t>
      </w:r>
      <w:r>
        <w:rPr>
          <w:spacing w:val="-13"/>
        </w:rPr>
        <w:t> </w:t>
      </w:r>
      <w:r>
        <w:rPr/>
        <w:t>remains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focus,</w:t>
      </w:r>
      <w:r>
        <w:rPr>
          <w:spacing w:val="-13"/>
        </w:rPr>
        <w:t> </w:t>
      </w:r>
      <w:r>
        <w:rPr/>
        <w:t>driving</w:t>
      </w:r>
      <w:r>
        <w:rPr>
          <w:spacing w:val="-11"/>
        </w:rPr>
        <w:t> </w:t>
      </w:r>
      <w:r>
        <w:rPr/>
        <w:t>growth,</w:t>
      </w:r>
      <w:r>
        <w:rPr>
          <w:spacing w:val="-9"/>
        </w:rPr>
        <w:t> </w:t>
      </w:r>
      <w:r>
        <w:rPr/>
        <w:t>expansion,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success</w:t>
      </w:r>
      <w:r>
        <w:rPr>
          <w:spacing w:val="-11"/>
        </w:rPr>
        <w:t> </w:t>
      </w:r>
      <w:r>
        <w:rPr/>
        <w:t>across</w:t>
      </w:r>
      <w:r>
        <w:rPr>
          <w:spacing w:val="-12"/>
        </w:rPr>
        <w:t> </w:t>
      </w:r>
      <w:r>
        <w:rPr/>
        <w:t>its</w:t>
      </w:r>
      <w:r>
        <w:rPr>
          <w:spacing w:val="-10"/>
        </w:rPr>
        <w:t> </w:t>
      </w:r>
      <w:r>
        <w:rPr/>
        <w:t>diverse</w:t>
      </w:r>
      <w:r>
        <w:rPr>
          <w:spacing w:val="-10"/>
        </w:rPr>
        <w:t> </w:t>
      </w:r>
      <w:r>
        <w:rPr/>
        <w:t>business</w:t>
      </w:r>
      <w:r>
        <w:rPr>
          <w:spacing w:val="-59"/>
        </w:rPr>
        <w:t> </w:t>
      </w:r>
      <w:r>
        <w:rPr/>
        <w:t>units. The company is committed to delivering exceptional experiences within the plant-based industry</w:t>
      </w:r>
      <w:r>
        <w:rPr>
          <w:spacing w:val="-59"/>
        </w:rPr>
        <w:t> </w:t>
      </w:r>
      <w:r>
        <w:rPr/>
        <w:t>while</w:t>
      </w:r>
      <w:r>
        <w:rPr>
          <w:spacing w:val="-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striving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rPr>
          <w:sz w:val="21"/>
        </w:rPr>
      </w:pPr>
    </w:p>
    <w:p>
      <w:pPr>
        <w:pStyle w:val="BodyText"/>
        <w:ind w:left="116" w:right="134"/>
        <w:jc w:val="both"/>
      </w:pPr>
      <w:r>
        <w:rPr/>
        <w:t>PlantX has recently entered into a share exchange agreement with a newly formed Cayman Islands</w:t>
      </w:r>
      <w:r>
        <w:rPr>
          <w:spacing w:val="1"/>
        </w:rPr>
        <w:t> </w:t>
      </w:r>
      <w:r>
        <w:rPr/>
        <w:t>corporation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Secure</w:t>
      </w:r>
      <w:r>
        <w:rPr>
          <w:spacing w:val="-6"/>
        </w:rPr>
        <w:t> </w:t>
      </w:r>
      <w:r>
        <w:rPr/>
        <w:t>Additional</w:t>
      </w:r>
      <w:r>
        <w:rPr>
          <w:spacing w:val="-6"/>
        </w:rPr>
        <w:t> </w:t>
      </w:r>
      <w:r>
        <w:rPr/>
        <w:t>Funding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Grow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/>
        <w:t>U.S.</w:t>
      </w:r>
      <w:r>
        <w:rPr>
          <w:spacing w:val="-6"/>
        </w:rPr>
        <w:t> </w:t>
      </w:r>
      <w:r>
        <w:rPr/>
        <w:t>Operations.</w:t>
      </w:r>
      <w:r>
        <w:rPr>
          <w:spacing w:val="-5"/>
        </w:rPr>
        <w:t> </w:t>
      </w:r>
      <w:r>
        <w:rPr/>
        <w:t>Under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agreement,</w:t>
      </w:r>
      <w:r>
        <w:rPr>
          <w:spacing w:val="-59"/>
        </w:rPr>
        <w:t> </w:t>
      </w:r>
      <w:r>
        <w:rPr/>
        <w:t>PlantX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assets,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subsidiaries</w:t>
      </w:r>
      <w:r>
        <w:rPr>
          <w:spacing w:val="1"/>
        </w:rPr>
        <w:t> </w:t>
      </w:r>
      <w:r>
        <w:rPr/>
        <w:t>Vegaste</w:t>
      </w:r>
      <w:r>
        <w:rPr>
          <w:spacing w:val="1"/>
        </w:rPr>
        <w:t> </w:t>
      </w:r>
      <w:r>
        <w:rPr/>
        <w:t>Technologies US Corp., Little West LLC, Plant Based Deli LLC, and PlantX Living Inc., as well as its</w:t>
      </w:r>
      <w:r>
        <w:rPr>
          <w:spacing w:val="1"/>
        </w:rPr>
        <w:t> </w:t>
      </w:r>
      <w:r>
        <w:rPr/>
        <w:t>53% interest in Portfolio Coffee, Inc. and 51% interest in Eh Coffee Corp. Upon completion of the</w:t>
      </w:r>
      <w:r>
        <w:rPr>
          <w:spacing w:val="1"/>
        </w:rPr>
        <w:t> </w:t>
      </w:r>
      <w:r>
        <w:rPr/>
        <w:t>transaction, it is anticipated that PlantX will own approximately 60% of the issued and outstanding</w:t>
      </w:r>
      <w:r>
        <w:rPr>
          <w:spacing w:val="1"/>
        </w:rPr>
        <w:t> </w:t>
      </w:r>
      <w:r>
        <w:rPr/>
        <w:t>shares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newly</w:t>
      </w:r>
      <w:r>
        <w:rPr>
          <w:spacing w:val="-5"/>
        </w:rPr>
        <w:t> </w:t>
      </w:r>
      <w:r>
        <w:rPr/>
        <w:t>formed</w:t>
      </w:r>
      <w:r>
        <w:rPr>
          <w:spacing w:val="-3"/>
        </w:rPr>
        <w:t> </w:t>
      </w:r>
      <w:r>
        <w:rPr/>
        <w:t>corporation,</w:t>
      </w:r>
      <w:r>
        <w:rPr>
          <w:spacing w:val="-3"/>
        </w:rPr>
        <w:t> </w:t>
      </w:r>
      <w:r>
        <w:rPr/>
        <w:t>referred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NewCo,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adjustments</w:t>
      </w:r>
      <w:r>
        <w:rPr>
          <w:spacing w:val="-3"/>
        </w:rPr>
        <w:t> </w:t>
      </w:r>
      <w:r>
        <w:rPr/>
        <w:t>dependent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NewCo</w:t>
      </w:r>
      <w:r>
        <w:rPr>
          <w:spacing w:val="-1"/>
        </w:rPr>
        <w:t> </w:t>
      </w:r>
      <w:r>
        <w:rPr/>
        <w:t>Financing.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0176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4"/>
      </w:pPr>
      <w:r>
        <w:rPr/>
        <w:t>OPERATIONAL</w:t>
      </w:r>
      <w:r>
        <w:rPr>
          <w:spacing w:val="-14"/>
        </w:rPr>
        <w:t> </w:t>
      </w:r>
      <w:r>
        <w:rPr/>
        <w:t>HIGHLIGHTS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/>
      </w:pPr>
      <w:r>
        <w:rPr/>
        <w:t>On</w:t>
      </w:r>
      <w:r>
        <w:rPr>
          <w:spacing w:val="5"/>
        </w:rPr>
        <w:t> </w:t>
      </w:r>
      <w:r>
        <w:rPr/>
        <w:t>March</w:t>
      </w:r>
      <w:r>
        <w:rPr>
          <w:spacing w:val="5"/>
        </w:rPr>
        <w:t> </w:t>
      </w:r>
      <w:r>
        <w:rPr/>
        <w:t>8,</w:t>
      </w:r>
      <w:r>
        <w:rPr>
          <w:spacing w:val="7"/>
        </w:rPr>
        <w:t> </w:t>
      </w:r>
      <w:r>
        <w:rPr/>
        <w:t>2022,</w:t>
      </w:r>
      <w:r>
        <w:rPr>
          <w:spacing w:val="7"/>
        </w:rPr>
        <w:t> </w:t>
      </w:r>
      <w:r>
        <w:rPr/>
        <w:t>Bloombox</w:t>
      </w:r>
      <w:r>
        <w:rPr>
          <w:spacing w:val="6"/>
        </w:rPr>
        <w:t> </w:t>
      </w:r>
      <w:r>
        <w:rPr/>
        <w:t>Club</w:t>
      </w:r>
      <w:r>
        <w:rPr>
          <w:spacing w:val="7"/>
        </w:rPr>
        <w:t> </w:t>
      </w:r>
      <w:r>
        <w:rPr/>
        <w:t>expanded</w:t>
      </w:r>
      <w:r>
        <w:rPr>
          <w:spacing w:val="5"/>
        </w:rPr>
        <w:t> </w:t>
      </w:r>
      <w:r>
        <w:rPr/>
        <w:t>its</w:t>
      </w:r>
      <w:r>
        <w:rPr>
          <w:spacing w:val="3"/>
        </w:rPr>
        <w:t> </w:t>
      </w:r>
      <w:r>
        <w:rPr/>
        <w:t>direct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consumer</w:t>
      </w:r>
      <w:r>
        <w:rPr>
          <w:spacing w:val="7"/>
        </w:rPr>
        <w:t> </w:t>
      </w:r>
      <w:r>
        <w:rPr/>
        <w:t>indoor</w:t>
      </w:r>
      <w:r>
        <w:rPr>
          <w:spacing w:val="9"/>
        </w:rPr>
        <w:t> </w:t>
      </w:r>
      <w:r>
        <w:rPr/>
        <w:t>plant</w:t>
      </w:r>
      <w:r>
        <w:rPr>
          <w:spacing w:val="7"/>
        </w:rPr>
        <w:t> </w:t>
      </w:r>
      <w:r>
        <w:rPr/>
        <w:t>selling</w:t>
      </w:r>
      <w:r>
        <w:rPr>
          <w:spacing w:val="7"/>
        </w:rPr>
        <w:t> </w:t>
      </w:r>
      <w:r>
        <w:rPr/>
        <w:t>business</w:t>
      </w:r>
      <w:r>
        <w:rPr>
          <w:spacing w:val="6"/>
        </w:rPr>
        <w:t> </w:t>
      </w:r>
      <w:r>
        <w:rPr/>
        <w:t>into</w:t>
      </w:r>
      <w:r>
        <w:rPr>
          <w:spacing w:val="-58"/>
        </w:rPr>
        <w:t> </w:t>
      </w:r>
      <w:r>
        <w:rPr/>
        <w:t>Austria</w:t>
      </w:r>
      <w:r>
        <w:rPr>
          <w:spacing w:val="-1"/>
        </w:rPr>
        <w:t> </w:t>
      </w:r>
      <w:r>
        <w:rPr/>
        <w:t>https://bloomboxclub.at/.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8"/>
        </w:rPr>
        <w:t> </w:t>
      </w:r>
      <w:r>
        <w:rPr/>
        <w:t>March</w:t>
      </w:r>
      <w:r>
        <w:rPr>
          <w:spacing w:val="11"/>
        </w:rPr>
        <w:t> </w:t>
      </w:r>
      <w:r>
        <w:rPr/>
        <w:t>28,</w:t>
      </w:r>
      <w:r>
        <w:rPr>
          <w:spacing w:val="11"/>
        </w:rPr>
        <w:t> </w:t>
      </w:r>
      <w:r>
        <w:rPr/>
        <w:t>2022,</w:t>
      </w:r>
      <w:r>
        <w:rPr>
          <w:spacing w:val="10"/>
        </w:rPr>
        <w:t> </w:t>
      </w:r>
      <w:r>
        <w:rPr/>
        <w:t>Bloombox</w:t>
      </w:r>
      <w:r>
        <w:rPr>
          <w:spacing w:val="11"/>
        </w:rPr>
        <w:t> </w:t>
      </w:r>
      <w:r>
        <w:rPr/>
        <w:t>Club</w:t>
      </w:r>
      <w:r>
        <w:rPr>
          <w:spacing w:val="8"/>
        </w:rPr>
        <w:t> </w:t>
      </w:r>
      <w:r>
        <w:rPr/>
        <w:t>expanded</w:t>
      </w:r>
      <w:r>
        <w:rPr>
          <w:spacing w:val="10"/>
        </w:rPr>
        <w:t> </w:t>
      </w:r>
      <w:r>
        <w:rPr/>
        <w:t>its</w:t>
      </w:r>
      <w:r>
        <w:rPr>
          <w:spacing w:val="12"/>
        </w:rPr>
        <w:t> </w:t>
      </w:r>
      <w:r>
        <w:rPr/>
        <w:t>direct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consumer</w:t>
      </w:r>
      <w:r>
        <w:rPr>
          <w:spacing w:val="10"/>
        </w:rPr>
        <w:t> </w:t>
      </w:r>
      <w:r>
        <w:rPr/>
        <w:t>indoor</w:t>
      </w:r>
      <w:r>
        <w:rPr>
          <w:spacing w:val="11"/>
        </w:rPr>
        <w:t> </w:t>
      </w:r>
      <w:r>
        <w:rPr/>
        <w:t>plant</w:t>
      </w:r>
      <w:r>
        <w:rPr>
          <w:spacing w:val="10"/>
        </w:rPr>
        <w:t> </w:t>
      </w:r>
      <w:r>
        <w:rPr/>
        <w:t>selling</w:t>
      </w:r>
      <w:r>
        <w:rPr>
          <w:spacing w:val="10"/>
        </w:rPr>
        <w:t> </w:t>
      </w:r>
      <w:r>
        <w:rPr/>
        <w:t>business</w:t>
      </w:r>
      <w:r>
        <w:rPr>
          <w:spacing w:val="12"/>
        </w:rPr>
        <w:t> </w:t>
      </w:r>
      <w:r>
        <w:rPr/>
        <w:t>to</w:t>
      </w:r>
      <w:r>
        <w:rPr>
          <w:spacing w:val="-58"/>
        </w:rPr>
        <w:t> </w:t>
      </w:r>
      <w:r>
        <w:rPr/>
        <w:t>Ireland </w:t>
      </w:r>
      <w:hyperlink r:id="rId8">
        <w:r>
          <w:rPr/>
          <w:t>https://bloomboxclub.ie/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34"/>
        </w:rPr>
        <w:t> </w:t>
      </w:r>
      <w:r>
        <w:rPr/>
        <w:t>April</w:t>
      </w:r>
      <w:r>
        <w:rPr>
          <w:spacing w:val="34"/>
        </w:rPr>
        <w:t> </w:t>
      </w:r>
      <w:r>
        <w:rPr/>
        <w:t>25,</w:t>
      </w:r>
      <w:r>
        <w:rPr>
          <w:spacing w:val="36"/>
        </w:rPr>
        <w:t> </w:t>
      </w:r>
      <w:r>
        <w:rPr/>
        <w:t>2022,</w:t>
      </w:r>
      <w:r>
        <w:rPr>
          <w:spacing w:val="36"/>
        </w:rPr>
        <w:t> </w:t>
      </w:r>
      <w:r>
        <w:rPr/>
        <w:t>PlantX</w:t>
      </w:r>
      <w:r>
        <w:rPr>
          <w:spacing w:val="34"/>
        </w:rPr>
        <w:t> </w:t>
      </w:r>
      <w:r>
        <w:rPr/>
        <w:t>launched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new</w:t>
      </w:r>
      <w:r>
        <w:rPr>
          <w:spacing w:val="34"/>
        </w:rPr>
        <w:t> </w:t>
      </w:r>
      <w:r>
        <w:rPr/>
        <w:t>ecommerce</w:t>
      </w:r>
      <w:r>
        <w:rPr>
          <w:spacing w:val="34"/>
        </w:rPr>
        <w:t> </w:t>
      </w:r>
      <w:r>
        <w:rPr/>
        <w:t>platform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establish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direct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consumer</w:t>
      </w:r>
      <w:r>
        <w:rPr>
          <w:spacing w:val="-58"/>
        </w:rPr>
        <w:t> </w:t>
      </w:r>
      <w:r>
        <w:rPr/>
        <w:t>business for</w:t>
      </w:r>
      <w:r>
        <w:rPr>
          <w:spacing w:val="1"/>
        </w:rPr>
        <w:t> </w:t>
      </w:r>
      <w:r>
        <w:rPr/>
        <w:t>Portfolio Coffee</w:t>
      </w:r>
      <w:r>
        <w:rPr>
          <w:spacing w:val="-2"/>
        </w:rPr>
        <w:t> </w:t>
      </w:r>
      <w:hyperlink r:id="rId9">
        <w:r>
          <w:rPr/>
          <w:t>https://portfoliocoffee.ca/</w:t>
        </w:r>
      </w:hyperlink>
    </w:p>
    <w:p>
      <w:pPr>
        <w:pStyle w:val="BodyText"/>
        <w:rPr>
          <w:sz w:val="21"/>
        </w:rPr>
      </w:pPr>
    </w:p>
    <w:p>
      <w:pPr>
        <w:pStyle w:val="BodyText"/>
        <w:ind w:left="116"/>
      </w:pPr>
      <w:r>
        <w:rPr/>
        <w:t>On</w:t>
      </w:r>
      <w:r>
        <w:rPr>
          <w:spacing w:val="20"/>
        </w:rPr>
        <w:t> </w:t>
      </w:r>
      <w:r>
        <w:rPr/>
        <w:t>April</w:t>
      </w:r>
      <w:r>
        <w:rPr>
          <w:spacing w:val="21"/>
        </w:rPr>
        <w:t> </w:t>
      </w:r>
      <w:r>
        <w:rPr/>
        <w:t>26,</w:t>
      </w:r>
      <w:r>
        <w:rPr>
          <w:spacing w:val="22"/>
        </w:rPr>
        <w:t> </w:t>
      </w:r>
      <w:r>
        <w:rPr/>
        <w:t>2022,</w:t>
      </w:r>
      <w:r>
        <w:rPr>
          <w:spacing w:val="21"/>
        </w:rPr>
        <w:t> </w:t>
      </w:r>
      <w:r>
        <w:rPr/>
        <w:t>Bloombox</w:t>
      </w:r>
      <w:r>
        <w:rPr>
          <w:spacing w:val="21"/>
        </w:rPr>
        <w:t> </w:t>
      </w:r>
      <w:r>
        <w:rPr/>
        <w:t>Club</w:t>
      </w:r>
      <w:r>
        <w:rPr>
          <w:spacing w:val="22"/>
        </w:rPr>
        <w:t> </w:t>
      </w:r>
      <w:r>
        <w:rPr/>
        <w:t>expanded</w:t>
      </w:r>
      <w:r>
        <w:rPr>
          <w:spacing w:val="21"/>
        </w:rPr>
        <w:t> </w:t>
      </w:r>
      <w:r>
        <w:rPr/>
        <w:t>its</w:t>
      </w:r>
      <w:r>
        <w:rPr>
          <w:spacing w:val="20"/>
        </w:rPr>
        <w:t> </w:t>
      </w:r>
      <w:r>
        <w:rPr/>
        <w:t>direct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consumer</w:t>
      </w:r>
      <w:r>
        <w:rPr>
          <w:spacing w:val="21"/>
        </w:rPr>
        <w:t> </w:t>
      </w:r>
      <w:r>
        <w:rPr/>
        <w:t>indoor</w:t>
      </w:r>
      <w:r>
        <w:rPr>
          <w:spacing w:val="24"/>
        </w:rPr>
        <w:t> </w:t>
      </w:r>
      <w:r>
        <w:rPr/>
        <w:t>plant</w:t>
      </w:r>
      <w:r>
        <w:rPr>
          <w:spacing w:val="21"/>
        </w:rPr>
        <w:t> </w:t>
      </w:r>
      <w:r>
        <w:rPr/>
        <w:t>selling</w:t>
      </w:r>
      <w:r>
        <w:rPr>
          <w:spacing w:val="22"/>
        </w:rPr>
        <w:t> </w:t>
      </w:r>
      <w:r>
        <w:rPr/>
        <w:t>business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/>
        <w:t>France </w:t>
      </w:r>
      <w:hyperlink r:id="rId10">
        <w:r>
          <w:rPr/>
          <w:t>https://bloomboxfrance.fr/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2" w:lineRule="exact"/>
        <w:ind w:left="116"/>
      </w:pPr>
      <w:r>
        <w:rPr/>
        <w:t>On</w:t>
      </w:r>
      <w:r>
        <w:rPr>
          <w:spacing w:val="-6"/>
        </w:rPr>
        <w:t> </w:t>
      </w:r>
      <w:r>
        <w:rPr/>
        <w:t>April</w:t>
      </w:r>
      <w:r>
        <w:rPr>
          <w:spacing w:val="-7"/>
        </w:rPr>
        <w:t> </w:t>
      </w:r>
      <w:r>
        <w:rPr/>
        <w:t>28,</w:t>
      </w:r>
      <w:r>
        <w:rPr>
          <w:spacing w:val="-4"/>
        </w:rPr>
        <w:t> </w:t>
      </w:r>
      <w:r>
        <w:rPr/>
        <w:t>2022,</w:t>
      </w:r>
      <w:r>
        <w:rPr>
          <w:spacing w:val="-5"/>
        </w:rPr>
        <w:t> </w:t>
      </w:r>
      <w:r>
        <w:rPr/>
        <w:t>PlantX</w:t>
      </w:r>
      <w:r>
        <w:rPr>
          <w:spacing w:val="-6"/>
        </w:rPr>
        <w:t> </w:t>
      </w:r>
      <w:r>
        <w:rPr/>
        <w:t>announced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launch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its</w:t>
      </w:r>
      <w:r>
        <w:rPr>
          <w:spacing w:val="-7"/>
        </w:rPr>
        <w:t> </w:t>
      </w:r>
      <w:r>
        <w:rPr/>
        <w:t>Multi-Brand</w:t>
      </w:r>
      <w:r>
        <w:rPr>
          <w:spacing w:val="-5"/>
        </w:rPr>
        <w:t> </w:t>
      </w:r>
      <w:r>
        <w:rPr/>
        <w:t>Pop-Up</w:t>
      </w:r>
      <w:r>
        <w:rPr>
          <w:spacing w:val="-9"/>
        </w:rPr>
        <w:t> </w:t>
      </w:r>
      <w:r>
        <w:rPr/>
        <w:t>RetaiI</w:t>
      </w:r>
      <w:r>
        <w:rPr>
          <w:spacing w:val="-4"/>
        </w:rPr>
        <w:t> </w:t>
      </w:r>
      <w:r>
        <w:rPr/>
        <w:t>Initiative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Obtains</w:t>
      </w:r>
    </w:p>
    <w:p>
      <w:pPr>
        <w:pStyle w:val="BodyText"/>
        <w:spacing w:line="252" w:lineRule="exact"/>
        <w:ind w:left="116"/>
      </w:pPr>
      <w:r>
        <w:rPr/>
        <w:t>$2</w:t>
      </w:r>
      <w:r>
        <w:rPr>
          <w:spacing w:val="-3"/>
        </w:rPr>
        <w:t> </w:t>
      </w:r>
      <w:r>
        <w:rPr/>
        <w:t>Million</w:t>
      </w:r>
      <w:r>
        <w:rPr>
          <w:spacing w:val="-2"/>
        </w:rPr>
        <w:t> </w:t>
      </w:r>
      <w:r>
        <w:rPr/>
        <w:t>Convertible</w:t>
      </w:r>
      <w:r>
        <w:rPr>
          <w:spacing w:val="-2"/>
        </w:rPr>
        <w:t> </w:t>
      </w:r>
      <w:r>
        <w:rPr/>
        <w:t>Loan.</w:t>
      </w:r>
    </w:p>
    <w:p>
      <w:pPr>
        <w:pStyle w:val="BodyText"/>
        <w:rPr>
          <w:sz w:val="21"/>
        </w:rPr>
      </w:pPr>
    </w:p>
    <w:p>
      <w:pPr>
        <w:pStyle w:val="BodyText"/>
        <w:ind w:left="116"/>
      </w:pPr>
      <w:r>
        <w:rPr/>
        <w:t>On</w:t>
      </w:r>
      <w:r>
        <w:rPr>
          <w:spacing w:val="41"/>
        </w:rPr>
        <w:t> </w:t>
      </w:r>
      <w:r>
        <w:rPr/>
        <w:t>June</w:t>
      </w:r>
      <w:r>
        <w:rPr>
          <w:spacing w:val="41"/>
        </w:rPr>
        <w:t> </w:t>
      </w:r>
      <w:r>
        <w:rPr/>
        <w:t>2,</w:t>
      </w:r>
      <w:r>
        <w:rPr>
          <w:spacing w:val="43"/>
        </w:rPr>
        <w:t> </w:t>
      </w:r>
      <w:r>
        <w:rPr/>
        <w:t>2022,</w:t>
      </w:r>
      <w:r>
        <w:rPr>
          <w:spacing w:val="45"/>
        </w:rPr>
        <w:t> </w:t>
      </w:r>
      <w:r>
        <w:rPr/>
        <w:t>PlantX</w:t>
      </w:r>
      <w:r>
        <w:rPr>
          <w:spacing w:val="43"/>
        </w:rPr>
        <w:t> </w:t>
      </w:r>
      <w:r>
        <w:rPr/>
        <w:t>announced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it</w:t>
      </w:r>
      <w:r>
        <w:rPr>
          <w:spacing w:val="44"/>
        </w:rPr>
        <w:t> </w:t>
      </w:r>
      <w:r>
        <w:rPr/>
        <w:t>received</w:t>
      </w:r>
      <w:r>
        <w:rPr>
          <w:spacing w:val="43"/>
        </w:rPr>
        <w:t> </w:t>
      </w:r>
      <w:r>
        <w:rPr/>
        <w:t>authorization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sell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distribute</w:t>
      </w:r>
      <w:r>
        <w:rPr>
          <w:spacing w:val="41"/>
        </w:rPr>
        <w:t> </w:t>
      </w:r>
      <w:r>
        <w:rPr/>
        <w:t>alcoholic</w:t>
      </w:r>
      <w:r>
        <w:rPr>
          <w:spacing w:val="-58"/>
        </w:rPr>
        <w:t> </w:t>
      </w:r>
      <w:r>
        <w:rPr/>
        <w:t>beverages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its U.S.</w:t>
      </w:r>
      <w:r>
        <w:rPr>
          <w:spacing w:val="-1"/>
        </w:rPr>
        <w:t> </w:t>
      </w:r>
      <w:r>
        <w:rPr/>
        <w:t>retail</w:t>
      </w:r>
      <w:r>
        <w:rPr>
          <w:spacing w:val="-1"/>
        </w:rPr>
        <w:t> </w:t>
      </w:r>
      <w:r>
        <w:rPr/>
        <w:t>stores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Chicago,</w:t>
      </w:r>
      <w:r>
        <w:rPr>
          <w:spacing w:val="-1"/>
        </w:rPr>
        <w:t> </w:t>
      </w:r>
      <w:r>
        <w:rPr/>
        <w:t>Illinois and Venice</w:t>
      </w:r>
      <w:r>
        <w:rPr>
          <w:spacing w:val="-1"/>
        </w:rPr>
        <w:t> </w:t>
      </w:r>
      <w:r>
        <w:rPr/>
        <w:t>Beach,</w:t>
      </w:r>
      <w:r>
        <w:rPr>
          <w:spacing w:val="2"/>
        </w:rPr>
        <w:t> </w:t>
      </w:r>
      <w:r>
        <w:rPr/>
        <w:t>California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23"/>
        </w:rPr>
        <w:t> </w:t>
      </w:r>
      <w:r>
        <w:rPr/>
        <w:t>July</w:t>
      </w:r>
      <w:r>
        <w:rPr>
          <w:spacing w:val="23"/>
        </w:rPr>
        <w:t> </w:t>
      </w:r>
      <w:r>
        <w:rPr/>
        <w:t>4,</w:t>
      </w:r>
      <w:r>
        <w:rPr>
          <w:spacing w:val="25"/>
        </w:rPr>
        <w:t> </w:t>
      </w:r>
      <w:r>
        <w:rPr/>
        <w:t>2022,</w:t>
      </w:r>
      <w:r>
        <w:rPr>
          <w:spacing w:val="22"/>
        </w:rPr>
        <w:t> </w:t>
      </w:r>
      <w:r>
        <w:rPr/>
        <w:t>PlantX</w:t>
      </w:r>
      <w:r>
        <w:rPr>
          <w:spacing w:val="20"/>
        </w:rPr>
        <w:t> </w:t>
      </w:r>
      <w:r>
        <w:rPr/>
        <w:t>announced</w:t>
      </w:r>
      <w:r>
        <w:rPr>
          <w:spacing w:val="24"/>
        </w:rPr>
        <w:t> </w:t>
      </w:r>
      <w:r>
        <w:rPr/>
        <w:t>partnership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Dream</w:t>
      </w:r>
      <w:r>
        <w:rPr>
          <w:spacing w:val="25"/>
        </w:rPr>
        <w:t> </w:t>
      </w:r>
      <w:r>
        <w:rPr/>
        <w:t>Pops</w:t>
      </w:r>
      <w:r>
        <w:rPr>
          <w:spacing w:val="21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popup</w:t>
      </w:r>
      <w:r>
        <w:rPr>
          <w:spacing w:val="23"/>
        </w:rPr>
        <w:t> </w:t>
      </w:r>
      <w:r>
        <w:rPr/>
        <w:t>tenant</w:t>
      </w:r>
      <w:r>
        <w:rPr>
          <w:spacing w:val="23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Venice</w:t>
      </w:r>
      <w:r>
        <w:rPr>
          <w:spacing w:val="-58"/>
        </w:rPr>
        <w:t> </w:t>
      </w:r>
      <w:r>
        <w:rPr/>
        <w:t>Beach location.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20"/>
        </w:rPr>
        <w:t> </w:t>
      </w:r>
      <w:r>
        <w:rPr/>
        <w:t>September</w:t>
      </w:r>
      <w:r>
        <w:rPr>
          <w:spacing w:val="21"/>
        </w:rPr>
        <w:t> </w:t>
      </w:r>
      <w:r>
        <w:rPr/>
        <w:t>12,</w:t>
      </w:r>
      <w:r>
        <w:rPr>
          <w:spacing w:val="20"/>
        </w:rPr>
        <w:t> </w:t>
      </w:r>
      <w:r>
        <w:rPr/>
        <w:t>2022,</w:t>
      </w:r>
      <w:r>
        <w:rPr>
          <w:spacing w:val="21"/>
        </w:rPr>
        <w:t> </w:t>
      </w:r>
      <w:r>
        <w:rPr/>
        <w:t>PlantX</w:t>
      </w:r>
      <w:r>
        <w:rPr>
          <w:spacing w:val="19"/>
        </w:rPr>
        <w:t> </w:t>
      </w:r>
      <w:r>
        <w:rPr/>
        <w:t>announced</w:t>
      </w:r>
      <w:r>
        <w:rPr>
          <w:spacing w:val="20"/>
        </w:rPr>
        <w:t> </w:t>
      </w:r>
      <w:r>
        <w:rPr/>
        <w:t>partnership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Future</w:t>
      </w:r>
      <w:r>
        <w:rPr>
          <w:spacing w:val="20"/>
        </w:rPr>
        <w:t> </w:t>
      </w:r>
      <w:r>
        <w:rPr/>
        <w:t>Farm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popup</w:t>
      </w:r>
      <w:r>
        <w:rPr>
          <w:spacing w:val="21"/>
        </w:rPr>
        <w:t> </w:t>
      </w:r>
      <w:r>
        <w:rPr/>
        <w:t>tenant</w:t>
      </w:r>
      <w:r>
        <w:rPr>
          <w:spacing w:val="21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-58"/>
        </w:rPr>
        <w:t> </w:t>
      </w:r>
      <w:r>
        <w:rPr/>
        <w:t>Venice Beach location.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6"/>
      </w:pPr>
      <w:r>
        <w:rPr/>
        <w:t>On</w:t>
      </w:r>
      <w:r>
        <w:rPr>
          <w:spacing w:val="-11"/>
        </w:rPr>
        <w:t> </w:t>
      </w:r>
      <w:r>
        <w:rPr/>
        <w:t>September</w:t>
      </w:r>
      <w:r>
        <w:rPr>
          <w:spacing w:val="-11"/>
        </w:rPr>
        <w:t> </w:t>
      </w:r>
      <w:r>
        <w:rPr/>
        <w:t>19,</w:t>
      </w:r>
      <w:r>
        <w:rPr>
          <w:spacing w:val="-11"/>
        </w:rPr>
        <w:t> </w:t>
      </w:r>
      <w:r>
        <w:rPr/>
        <w:t>2022,</w:t>
      </w:r>
      <w:r>
        <w:rPr>
          <w:spacing w:val="-12"/>
        </w:rPr>
        <w:t> </w:t>
      </w:r>
      <w:r>
        <w:rPr/>
        <w:t>PlantX</w:t>
      </w:r>
      <w:r>
        <w:rPr>
          <w:spacing w:val="-11"/>
        </w:rPr>
        <w:t> </w:t>
      </w:r>
      <w:r>
        <w:rPr/>
        <w:t>announced</w:t>
      </w:r>
      <w:r>
        <w:rPr>
          <w:spacing w:val="-13"/>
        </w:rPr>
        <w:t> </w:t>
      </w:r>
      <w:r>
        <w:rPr/>
        <w:t>its</w:t>
      </w:r>
      <w:r>
        <w:rPr>
          <w:spacing w:val="-12"/>
        </w:rPr>
        <w:t> </w:t>
      </w:r>
      <w:r>
        <w:rPr/>
        <w:t>plans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acquire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longest</w:t>
      </w:r>
      <w:r>
        <w:rPr>
          <w:spacing w:val="-14"/>
        </w:rPr>
        <w:t> </w:t>
      </w:r>
      <w:r>
        <w:rPr/>
        <w:t>standing</w:t>
      </w:r>
      <w:r>
        <w:rPr>
          <w:spacing w:val="-12"/>
        </w:rPr>
        <w:t> </w:t>
      </w:r>
      <w:r>
        <w:rPr/>
        <w:t>vegan</w:t>
      </w:r>
      <w:r>
        <w:rPr>
          <w:spacing w:val="-13"/>
        </w:rPr>
        <w:t> </w:t>
      </w:r>
      <w:r>
        <w:rPr/>
        <w:t>ecommerce</w:t>
      </w:r>
      <w:r>
        <w:rPr>
          <w:spacing w:val="-58"/>
        </w:rPr>
        <w:t> </w:t>
      </w:r>
      <w:r>
        <w:rPr/>
        <w:t>platform</w:t>
      </w:r>
      <w:r>
        <w:rPr>
          <w:spacing w:val="-2"/>
        </w:rPr>
        <w:t> </w:t>
      </w:r>
      <w:r>
        <w:rPr/>
        <w:t>veganessentials.com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-2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21, 2022,</w:t>
      </w:r>
      <w:r>
        <w:rPr>
          <w:spacing w:val="-2"/>
        </w:rPr>
        <w:t> </w:t>
      </w:r>
      <w:r>
        <w:rPr/>
        <w:t>PlantX</w:t>
      </w:r>
      <w:r>
        <w:rPr>
          <w:spacing w:val="-2"/>
        </w:rPr>
        <w:t> </w:t>
      </w:r>
      <w:r>
        <w:rPr/>
        <w:t>announced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date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share</w:t>
      </w:r>
      <w:r>
        <w:rPr>
          <w:spacing w:val="-4"/>
        </w:rPr>
        <w:t> </w:t>
      </w:r>
      <w:r>
        <w:rPr/>
        <w:t>consolidation.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13"/>
        </w:rPr>
        <w:t> </w:t>
      </w:r>
      <w:r>
        <w:rPr/>
        <w:t>October</w:t>
      </w:r>
      <w:r>
        <w:rPr>
          <w:spacing w:val="14"/>
        </w:rPr>
        <w:t> </w:t>
      </w:r>
      <w:r>
        <w:rPr/>
        <w:t>3,</w:t>
      </w:r>
      <w:r>
        <w:rPr>
          <w:spacing w:val="14"/>
        </w:rPr>
        <w:t> </w:t>
      </w:r>
      <w:r>
        <w:rPr/>
        <w:t>2022,</w:t>
      </w:r>
      <w:r>
        <w:rPr>
          <w:spacing w:val="15"/>
        </w:rPr>
        <w:t> </w:t>
      </w:r>
      <w:r>
        <w:rPr/>
        <w:t>PlantX</w:t>
      </w:r>
      <w:r>
        <w:rPr>
          <w:spacing w:val="15"/>
        </w:rPr>
        <w:t> </w:t>
      </w:r>
      <w:r>
        <w:rPr/>
        <w:t>announced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will</w:t>
      </w:r>
      <w:r>
        <w:rPr>
          <w:spacing w:val="18"/>
        </w:rPr>
        <w:t> </w:t>
      </w:r>
      <w:r>
        <w:rPr/>
        <w:t>take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ecommerce</w:t>
      </w:r>
      <w:r>
        <w:rPr>
          <w:spacing w:val="12"/>
        </w:rPr>
        <w:t> </w:t>
      </w:r>
      <w:r>
        <w:rPr/>
        <w:t>fulfillment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Very</w:t>
      </w:r>
      <w:r>
        <w:rPr>
          <w:spacing w:val="12"/>
        </w:rPr>
        <w:t> </w:t>
      </w:r>
      <w:r>
        <w:rPr/>
        <w:t>Good</w:t>
      </w:r>
      <w:r>
        <w:rPr>
          <w:spacing w:val="-58"/>
        </w:rPr>
        <w:t> </w:t>
      </w:r>
      <w:r>
        <w:rPr/>
        <w:t>Food</w:t>
      </w:r>
      <w:r>
        <w:rPr>
          <w:spacing w:val="-1"/>
        </w:rPr>
        <w:t> </w:t>
      </w:r>
      <w:r>
        <w:rPr/>
        <w:t>Company.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6"/>
      </w:pPr>
      <w:r>
        <w:rPr/>
        <w:t>On</w:t>
      </w:r>
      <w:r>
        <w:rPr>
          <w:spacing w:val="-4"/>
        </w:rPr>
        <w:t> </w:t>
      </w:r>
      <w:r>
        <w:rPr/>
        <w:t>October</w:t>
      </w:r>
      <w:r>
        <w:rPr>
          <w:spacing w:val="-3"/>
        </w:rPr>
        <w:t> </w:t>
      </w:r>
      <w:r>
        <w:rPr/>
        <w:t>17,</w:t>
      </w:r>
      <w:r>
        <w:rPr>
          <w:spacing w:val="-2"/>
        </w:rPr>
        <w:t> </w:t>
      </w:r>
      <w:r>
        <w:rPr/>
        <w:t>2022,</w:t>
      </w:r>
      <w:r>
        <w:rPr>
          <w:spacing w:val="-3"/>
        </w:rPr>
        <w:t> </w:t>
      </w:r>
      <w:r>
        <w:rPr/>
        <w:t>PlantX</w:t>
      </w:r>
      <w:r>
        <w:rPr>
          <w:spacing w:val="-1"/>
        </w:rPr>
        <w:t> </w:t>
      </w:r>
      <w:r>
        <w:rPr/>
        <w:t>completes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acquisition</w:t>
      </w:r>
      <w:r>
        <w:rPr>
          <w:spacing w:val="-2"/>
        </w:rPr>
        <w:t> </w:t>
      </w:r>
      <w:r>
        <w:rPr/>
        <w:t>of VeganEssentials.com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16"/>
      </w:pPr>
      <w:r>
        <w:rPr/>
        <w:t>On</w:t>
      </w:r>
      <w:r>
        <w:rPr>
          <w:spacing w:val="25"/>
        </w:rPr>
        <w:t> </w:t>
      </w:r>
      <w:r>
        <w:rPr/>
        <w:t>January</w:t>
      </w:r>
      <w:r>
        <w:rPr>
          <w:spacing w:val="26"/>
        </w:rPr>
        <w:t> </w:t>
      </w:r>
      <w:r>
        <w:rPr/>
        <w:t>18,</w:t>
      </w:r>
      <w:r>
        <w:rPr>
          <w:spacing w:val="27"/>
        </w:rPr>
        <w:t> </w:t>
      </w:r>
      <w:r>
        <w:rPr/>
        <w:t>2023,</w:t>
      </w:r>
      <w:r>
        <w:rPr>
          <w:spacing w:val="52"/>
        </w:rPr>
        <w:t> </w:t>
      </w:r>
      <w:r>
        <w:rPr/>
        <w:t>PlantX</w:t>
      </w:r>
      <w:r>
        <w:rPr>
          <w:spacing w:val="24"/>
        </w:rPr>
        <w:t> </w:t>
      </w:r>
      <w:r>
        <w:rPr/>
        <w:t>announced</w:t>
      </w:r>
      <w:r>
        <w:rPr>
          <w:spacing w:val="25"/>
        </w:rPr>
        <w:t> </w:t>
      </w:r>
      <w:r>
        <w:rPr/>
        <w:t>partnership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Minor</w:t>
      </w:r>
      <w:r>
        <w:rPr>
          <w:spacing w:val="27"/>
        </w:rPr>
        <w:t> </w:t>
      </w:r>
      <w:r>
        <w:rPr/>
        <w:t>Figures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popup</w:t>
      </w:r>
      <w:r>
        <w:rPr>
          <w:spacing w:val="23"/>
        </w:rPr>
        <w:t> </w:t>
      </w:r>
      <w:r>
        <w:rPr/>
        <w:t>tenant</w:t>
      </w:r>
      <w:r>
        <w:rPr>
          <w:spacing w:val="26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-59"/>
        </w:rPr>
        <w:t> </w:t>
      </w:r>
      <w:r>
        <w:rPr/>
        <w:t>Venice</w:t>
      </w:r>
      <w:r>
        <w:rPr>
          <w:spacing w:val="-1"/>
        </w:rPr>
        <w:t> </w:t>
      </w:r>
      <w:r>
        <w:rPr/>
        <w:t>Beach location.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6"/>
      </w:pPr>
      <w:r>
        <w:rPr/>
        <w:t>On</w:t>
      </w:r>
      <w:r>
        <w:rPr>
          <w:spacing w:val="-5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14,</w:t>
      </w:r>
      <w:r>
        <w:rPr>
          <w:spacing w:val="-5"/>
        </w:rPr>
        <w:t> </w:t>
      </w:r>
      <w:r>
        <w:rPr/>
        <w:t>2023,</w:t>
      </w:r>
      <w:r>
        <w:rPr>
          <w:spacing w:val="-5"/>
        </w:rPr>
        <w:t> </w:t>
      </w:r>
      <w:r>
        <w:rPr/>
        <w:t>PlantX</w:t>
      </w:r>
      <w:r>
        <w:rPr>
          <w:spacing w:val="-4"/>
        </w:rPr>
        <w:t> </w:t>
      </w:r>
      <w:r>
        <w:rPr/>
        <w:t>announced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take</w:t>
      </w:r>
      <w:r>
        <w:rPr>
          <w:spacing w:val="-4"/>
        </w:rPr>
        <w:t> </w:t>
      </w:r>
      <w:r>
        <w:rPr/>
        <w:t>on</w:t>
      </w:r>
      <w:r>
        <w:rPr>
          <w:spacing w:val="-7"/>
        </w:rPr>
        <w:t> </w:t>
      </w:r>
      <w:r>
        <w:rPr/>
        <w:t>ecommerce</w:t>
      </w:r>
      <w:r>
        <w:rPr>
          <w:spacing w:val="-6"/>
        </w:rPr>
        <w:t> </w:t>
      </w:r>
      <w:r>
        <w:rPr/>
        <w:t>fulfillment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Nowadays</w:t>
      </w:r>
      <w:r>
        <w:rPr>
          <w:spacing w:val="-4"/>
        </w:rPr>
        <w:t> </w:t>
      </w:r>
      <w:r>
        <w:rPr/>
        <w:t>plant</w:t>
      </w:r>
      <w:r>
        <w:rPr>
          <w:spacing w:val="-58"/>
        </w:rPr>
        <w:t> </w:t>
      </w:r>
      <w:r>
        <w:rPr/>
        <w:t>based nuggets.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-4"/>
        </w:rPr>
        <w:t> </w:t>
      </w:r>
      <w:r>
        <w:rPr/>
        <w:t>March</w:t>
      </w:r>
      <w:r>
        <w:rPr>
          <w:spacing w:val="-1"/>
        </w:rPr>
        <w:t> </w:t>
      </w:r>
      <w:r>
        <w:rPr/>
        <w:t>2, 2023,</w:t>
      </w:r>
      <w:r>
        <w:rPr>
          <w:spacing w:val="1"/>
        </w:rPr>
        <w:t> </w:t>
      </w:r>
      <w:r>
        <w:rPr/>
        <w:t>PlantX</w:t>
      </w:r>
      <w:r>
        <w:rPr>
          <w:spacing w:val="-2"/>
        </w:rPr>
        <w:t> </w:t>
      </w:r>
      <w:r>
        <w:rPr/>
        <w:t>announced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take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ecommerce</w:t>
      </w:r>
      <w:r>
        <w:rPr>
          <w:spacing w:val="-3"/>
        </w:rPr>
        <w:t> </w:t>
      </w:r>
      <w:r>
        <w:rPr/>
        <w:t>fulfillment</w:t>
      </w:r>
      <w:r>
        <w:rPr>
          <w:spacing w:val="-3"/>
        </w:rPr>
        <w:t> </w:t>
      </w:r>
      <w:r>
        <w:rPr/>
        <w:t>for No</w:t>
      </w:r>
      <w:r>
        <w:rPr>
          <w:spacing w:val="-4"/>
        </w:rPr>
        <w:t> </w:t>
      </w:r>
      <w:r>
        <w:rPr/>
        <w:t>Evil</w:t>
      </w:r>
      <w:r>
        <w:rPr>
          <w:spacing w:val="-1"/>
        </w:rPr>
        <w:t> </w:t>
      </w:r>
      <w:r>
        <w:rPr/>
        <w:t>Foods.</w:t>
      </w:r>
    </w:p>
    <w:p>
      <w:pPr>
        <w:spacing w:after="0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0688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284"/>
      </w:pPr>
      <w:r>
        <w:rPr/>
        <w:t>On</w:t>
      </w:r>
      <w:r>
        <w:rPr>
          <w:spacing w:val="41"/>
        </w:rPr>
        <w:t> </w:t>
      </w:r>
      <w:r>
        <w:rPr/>
        <w:t>March</w:t>
      </w:r>
      <w:r>
        <w:rPr>
          <w:spacing w:val="-10"/>
        </w:rPr>
        <w:t> </w:t>
      </w:r>
      <w:r>
        <w:rPr/>
        <w:t>16,</w:t>
      </w:r>
      <w:r>
        <w:rPr>
          <w:spacing w:val="-9"/>
        </w:rPr>
        <w:t> </w:t>
      </w:r>
      <w:r>
        <w:rPr/>
        <w:t>2023,</w:t>
      </w:r>
      <w:r>
        <w:rPr>
          <w:spacing w:val="-7"/>
        </w:rPr>
        <w:t> </w:t>
      </w:r>
      <w:r>
        <w:rPr/>
        <w:t>PlantX</w:t>
      </w:r>
      <w:r>
        <w:rPr>
          <w:spacing w:val="-8"/>
        </w:rPr>
        <w:t> </w:t>
      </w:r>
      <w:r>
        <w:rPr/>
        <w:t>announced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11"/>
        </w:rPr>
        <w:t> </w:t>
      </w:r>
      <w:r>
        <w:rPr/>
        <w:t>entered</w:t>
      </w:r>
      <w:r>
        <w:rPr>
          <w:spacing w:val="-11"/>
        </w:rPr>
        <w:t> </w:t>
      </w:r>
      <w:r>
        <w:rPr/>
        <w:t>into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share</w:t>
      </w:r>
      <w:r>
        <w:rPr>
          <w:spacing w:val="-7"/>
        </w:rPr>
        <w:t> </w:t>
      </w:r>
      <w:r>
        <w:rPr/>
        <w:t>exchange</w:t>
      </w:r>
      <w:r>
        <w:rPr>
          <w:spacing w:val="-10"/>
        </w:rPr>
        <w:t> </w:t>
      </w:r>
      <w:r>
        <w:rPr/>
        <w:t>agreement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secure additional</w:t>
      </w:r>
      <w:r>
        <w:rPr>
          <w:spacing w:val="-1"/>
        </w:rPr>
        <w:t> </w:t>
      </w:r>
      <w:r>
        <w:rPr/>
        <w:t>funding and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grow</w:t>
      </w:r>
      <w:r>
        <w:rPr>
          <w:spacing w:val="-3"/>
        </w:rPr>
        <w:t> </w:t>
      </w:r>
      <w:r>
        <w:rPr/>
        <w:t>its</w:t>
      </w:r>
      <w:r>
        <w:rPr>
          <w:spacing w:val="1"/>
        </w:rPr>
        <w:t> </w:t>
      </w:r>
      <w:r>
        <w:rPr/>
        <w:t>US operations.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/>
      </w:pPr>
      <w:r>
        <w:rPr/>
        <w:t>On</w:t>
      </w:r>
      <w:r>
        <w:rPr>
          <w:spacing w:val="-5"/>
        </w:rPr>
        <w:t> </w:t>
      </w:r>
      <w:r>
        <w:rPr/>
        <w:t>March</w:t>
      </w:r>
      <w:r>
        <w:rPr>
          <w:spacing w:val="-2"/>
        </w:rPr>
        <w:t> </w:t>
      </w:r>
      <w:r>
        <w:rPr/>
        <w:t>22, 2023,</w:t>
      </w:r>
      <w:r>
        <w:rPr>
          <w:spacing w:val="-1"/>
        </w:rPr>
        <w:t> </w:t>
      </w:r>
      <w:r>
        <w:rPr/>
        <w:t>PlantX</w:t>
      </w:r>
      <w:r>
        <w:rPr>
          <w:spacing w:val="-2"/>
        </w:rPr>
        <w:t> </w:t>
      </w:r>
      <w:r>
        <w:rPr/>
        <w:t>Enters into</w:t>
      </w:r>
      <w:r>
        <w:rPr>
          <w:spacing w:val="-2"/>
        </w:rPr>
        <w:t> </w:t>
      </w:r>
      <w:r>
        <w:rPr/>
        <w:t>Strategic</w:t>
      </w:r>
      <w:r>
        <w:rPr>
          <w:spacing w:val="-4"/>
        </w:rPr>
        <w:t> </w:t>
      </w:r>
      <w:r>
        <w:rPr/>
        <w:t>Ecommerce</w:t>
      </w:r>
      <w:r>
        <w:rPr>
          <w:spacing w:val="-3"/>
        </w:rPr>
        <w:t> </w:t>
      </w:r>
      <w:r>
        <w:rPr/>
        <w:t>Partnership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VeganWines.com</w:t>
      </w:r>
    </w:p>
    <w:p>
      <w:pPr>
        <w:spacing w:after="0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2224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11"/>
        <w:rPr>
          <w:sz w:val="17"/>
        </w:rPr>
      </w:pPr>
    </w:p>
    <w:p>
      <w:pPr>
        <w:spacing w:before="92"/>
        <w:ind w:left="116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24"/>
        </w:rPr>
        <w:t>P</w:t>
      </w:r>
      <w:r>
        <w:rPr>
          <w:rFonts w:ascii="Arial"/>
          <w:b/>
          <w:sz w:val="19"/>
        </w:rPr>
        <w:t>LANT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17"/>
          <w:sz w:val="24"/>
        </w:rPr>
        <w:t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z w:val="19"/>
        </w:rPr>
        <w:t>NLINE</w:t>
      </w:r>
      <w:r>
        <w:rPr>
          <w:rFonts w:ascii="Arial"/>
          <w:b/>
          <w:spacing w:val="-2"/>
          <w:sz w:val="19"/>
        </w:rPr>
        <w:t> </w:t>
      </w:r>
      <w:r>
        <w:rPr>
          <w:rFonts w:ascii="Arial"/>
          <w:b/>
          <w:sz w:val="24"/>
        </w:rPr>
        <w:t>P</w:t>
      </w:r>
      <w:r>
        <w:rPr>
          <w:rFonts w:ascii="Arial"/>
          <w:b/>
          <w:sz w:val="19"/>
        </w:rPr>
        <w:t>LATFORM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116"/>
        <w:jc w:val="both"/>
      </w:pPr>
      <w:r>
        <w:rPr/>
        <w:t>The</w:t>
      </w:r>
      <w:r>
        <w:rPr>
          <w:spacing w:val="-3"/>
        </w:rPr>
        <w:t> </w:t>
      </w:r>
      <w:r>
        <w:rPr/>
        <w:t>Company’s</w:t>
      </w:r>
      <w:r>
        <w:rPr>
          <w:spacing w:val="-5"/>
        </w:rPr>
        <w:t> </w:t>
      </w:r>
      <w:r>
        <w:rPr/>
        <w:t>online</w:t>
      </w:r>
      <w:r>
        <w:rPr>
          <w:spacing w:val="-2"/>
        </w:rPr>
        <w:t> </w:t>
      </w:r>
      <w:r>
        <w:rPr/>
        <w:t>platforms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follows;</w:t>
      </w:r>
    </w:p>
    <w:p>
      <w:pPr>
        <w:pStyle w:val="BodyText"/>
        <w:rPr>
          <w:sz w:val="21"/>
        </w:rPr>
      </w:pPr>
    </w:p>
    <w:p>
      <w:pPr>
        <w:spacing w:before="0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PlantX.com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/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PlantX.ca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(</w:t>
      </w:r>
      <w:hyperlink r:id="rId11">
        <w:r>
          <w:rPr>
            <w:rFonts w:ascii="Arial"/>
            <w:b/>
            <w:color w:val="0000FF"/>
            <w:sz w:val="22"/>
            <w:u w:val="thick" w:color="0000FF"/>
          </w:rPr>
          <w:t>https://plantx.com/</w:t>
        </w:r>
      </w:hyperlink>
      <w:r>
        <w:rPr>
          <w:rFonts w:ascii="Arial"/>
          <w:b/>
          <w:sz w:val="22"/>
        </w:rPr>
        <w:t>,</w:t>
      </w:r>
      <w:r>
        <w:rPr>
          <w:rFonts w:ascii="Arial"/>
          <w:b/>
          <w:spacing w:val="-4"/>
          <w:sz w:val="22"/>
        </w:rPr>
        <w:t> </w:t>
      </w:r>
      <w:hyperlink r:id="rId12">
        <w:r>
          <w:rPr>
            <w:rFonts w:ascii="Arial"/>
            <w:b/>
            <w:color w:val="0000FF"/>
            <w:sz w:val="22"/>
            <w:u w:val="thick" w:color="0000FF"/>
          </w:rPr>
          <w:t>https://plantx.ca/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416"/>
        <w:jc w:val="both"/>
      </w:pPr>
      <w:r>
        <w:rPr>
          <w:spacing w:val="-1"/>
        </w:rPr>
        <w:t>PlantX.com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PlantX.ca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inclusive</w:t>
      </w:r>
      <w:r>
        <w:rPr>
          <w:spacing w:val="-11"/>
        </w:rPr>
        <w:t> </w:t>
      </w:r>
      <w:r>
        <w:rPr/>
        <w:t>online</w:t>
      </w:r>
      <w:r>
        <w:rPr>
          <w:spacing w:val="-11"/>
        </w:rPr>
        <w:t> </w:t>
      </w:r>
      <w:r>
        <w:rPr/>
        <w:t>platforms</w:t>
      </w:r>
      <w:r>
        <w:rPr>
          <w:spacing w:val="-14"/>
        </w:rPr>
        <w:t> </w:t>
      </w:r>
      <w:r>
        <w:rPr/>
        <w:t>catering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individuals</w:t>
      </w:r>
      <w:r>
        <w:rPr>
          <w:spacing w:val="-11"/>
        </w:rPr>
        <w:t> </w:t>
      </w:r>
      <w:r>
        <w:rPr/>
        <w:t>interested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adopting</w:t>
      </w:r>
      <w:r>
        <w:rPr>
          <w:spacing w:val="-59"/>
        </w:rPr>
        <w:t> </w:t>
      </w:r>
      <w:r>
        <w:rPr/>
        <w:t>a</w:t>
      </w:r>
      <w:r>
        <w:rPr>
          <w:spacing w:val="-9"/>
        </w:rPr>
        <w:t> </w:t>
      </w:r>
      <w:r>
        <w:rPr/>
        <w:t>plant-based</w:t>
      </w:r>
      <w:r>
        <w:rPr>
          <w:spacing w:val="-11"/>
        </w:rPr>
        <w:t> </w:t>
      </w:r>
      <w:r>
        <w:rPr/>
        <w:t>lifestyle,</w:t>
      </w:r>
      <w:r>
        <w:rPr>
          <w:spacing w:val="-7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flexitarians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those</w:t>
      </w:r>
      <w:r>
        <w:rPr>
          <w:spacing w:val="-8"/>
        </w:rPr>
        <w:t> </w:t>
      </w:r>
      <w:r>
        <w:rPr/>
        <w:t>who</w:t>
      </w:r>
      <w:r>
        <w:rPr>
          <w:spacing w:val="-9"/>
        </w:rPr>
        <w:t> </w:t>
      </w:r>
      <w:r>
        <w:rPr/>
        <w:t>may</w:t>
      </w:r>
      <w:r>
        <w:rPr>
          <w:spacing w:val="-10"/>
        </w:rPr>
        <w:t> </w:t>
      </w:r>
      <w:r>
        <w:rPr/>
        <w:t>feel</w:t>
      </w:r>
      <w:r>
        <w:rPr>
          <w:spacing w:val="-9"/>
        </w:rPr>
        <w:t> </w:t>
      </w:r>
      <w:r>
        <w:rPr/>
        <w:t>hesitant</w:t>
      </w:r>
      <w:r>
        <w:rPr>
          <w:spacing w:val="-8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political</w:t>
      </w:r>
      <w:r>
        <w:rPr>
          <w:spacing w:val="-9"/>
        </w:rPr>
        <w:t> </w:t>
      </w:r>
      <w:r>
        <w:rPr/>
        <w:t>side</w:t>
      </w:r>
      <w:r>
        <w:rPr>
          <w:spacing w:val="-59"/>
        </w:rPr>
        <w:t> </w:t>
      </w:r>
      <w:r>
        <w:rPr/>
        <w:t>of</w:t>
      </w:r>
      <w:r>
        <w:rPr>
          <w:spacing w:val="1"/>
        </w:rPr>
        <w:t> </w:t>
      </w:r>
      <w:r>
        <w:rPr/>
        <w:t>veganism.</w:t>
      </w:r>
      <w:r>
        <w:rPr>
          <w:spacing w:val="1"/>
        </w:rPr>
        <w:t> </w:t>
      </w:r>
      <w:r>
        <w:rPr/>
        <w:t>These platforms aim</w:t>
      </w:r>
      <w:r>
        <w:rPr>
          <w:spacing w:val="1"/>
        </w:rPr>
        <w:t> </w:t>
      </w:r>
      <w:r>
        <w:rPr/>
        <w:t>to empower users with knowledge and education,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imposing any political agenda. PlantX is here to make the transition to a plant-based lifestyle</w:t>
      </w:r>
      <w:r>
        <w:rPr>
          <w:spacing w:val="1"/>
        </w:rPr>
        <w:t> </w:t>
      </w:r>
      <w:r>
        <w:rPr/>
        <w:t>accessible, enjoyable,</w:t>
      </w:r>
      <w:r>
        <w:rPr>
          <w:spacing w:val="-1"/>
        </w:rPr>
        <w:t> </w:t>
      </w:r>
      <w:r>
        <w:rPr/>
        <w:t>and free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judgment.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2286635</wp:posOffset>
            </wp:positionH>
            <wp:positionV relativeFrom="paragraph">
              <wp:posOffset>152123</wp:posOffset>
            </wp:positionV>
            <wp:extent cx="3134088" cy="1802129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088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4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Vegan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Essentials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(</w:t>
      </w:r>
      <w:hyperlink r:id="rId14">
        <w:r>
          <w:rPr>
            <w:rFonts w:ascii="Arial"/>
            <w:b/>
            <w:color w:val="0000FF"/>
            <w:sz w:val="22"/>
            <w:u w:val="thick" w:color="0000FF"/>
          </w:rPr>
          <w:t>https://veganessentials.com/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418"/>
        <w:jc w:val="both"/>
      </w:pPr>
      <w:r>
        <w:rPr/>
        <w:t>VeganEssentials.com, the oldest domain in the vegan industry, is a haven for both old school and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wave</w:t>
      </w:r>
      <w:r>
        <w:rPr>
          <w:spacing w:val="-3"/>
        </w:rPr>
        <w:t> </w:t>
      </w:r>
      <w:r>
        <w:rPr/>
        <w:t>vegans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are deeply</w:t>
      </w:r>
      <w:r>
        <w:rPr>
          <w:spacing w:val="-5"/>
        </w:rPr>
        <w:t> </w:t>
      </w:r>
      <w:r>
        <w:rPr/>
        <w:t>mission-driven.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pioneers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vegan</w:t>
      </w:r>
      <w:r>
        <w:rPr>
          <w:spacing w:val="-1"/>
        </w:rPr>
        <w:t> </w:t>
      </w:r>
      <w:r>
        <w:rPr/>
        <w:t>world,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customers</w:t>
      </w:r>
      <w:r>
        <w:rPr>
          <w:spacing w:val="-59"/>
        </w:rPr>
        <w:t> </w:t>
      </w:r>
      <w:r>
        <w:rPr/>
        <w:t>have witnessed significant changes in the industry over time, and VeganEssentials has remained a</w:t>
      </w:r>
      <w:r>
        <w:rPr>
          <w:spacing w:val="-59"/>
        </w:rPr>
        <w:t> </w:t>
      </w:r>
      <w:r>
        <w:rPr/>
        <w:t>steadfast partner throughout their journey. With an unwavering commitment to providing the widest</w:t>
      </w:r>
      <w:r>
        <w:rPr>
          <w:spacing w:val="-59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vegan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VeganEssentials</w:t>
      </w:r>
      <w:r>
        <w:rPr>
          <w:spacing w:val="1"/>
        </w:rPr>
        <w:t> </w:t>
      </w:r>
      <w:r>
        <w:rPr/>
        <w:t>caters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-59"/>
        </w:rPr>
        <w:t> </w:t>
      </w:r>
      <w:r>
        <w:rPr/>
        <w:t>preferences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diverse customer</w:t>
      </w:r>
      <w:r>
        <w:rPr>
          <w:spacing w:val="1"/>
        </w:rPr>
        <w:t> </w:t>
      </w:r>
      <w:r>
        <w:rPr/>
        <w:t>base.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2272919</wp:posOffset>
            </wp:positionH>
            <wp:positionV relativeFrom="paragraph">
              <wp:posOffset>152634</wp:posOffset>
            </wp:positionV>
            <wp:extent cx="3152615" cy="1937289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615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376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spacing w:before="94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LittleWest.com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(</w:t>
      </w:r>
      <w:hyperlink r:id="rId16">
        <w:r>
          <w:rPr>
            <w:rFonts w:ascii="Arial"/>
            <w:b/>
            <w:color w:val="0000FF"/>
            <w:sz w:val="22"/>
            <w:u w:val="thick" w:color="0000FF"/>
          </w:rPr>
          <w:t>https://littlewest.com/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94"/>
        <w:ind w:left="116" w:right="412"/>
        <w:jc w:val="both"/>
      </w:pPr>
      <w:r>
        <w:rPr/>
        <w:t>LittleWest.com is a flourishing cold pressed juice company that has garnered immense popularity</w:t>
      </w:r>
      <w:r>
        <w:rPr>
          <w:spacing w:val="1"/>
        </w:rPr>
        <w:t> </w:t>
      </w:r>
      <w:r>
        <w:rPr/>
        <w:t>throughout Southern California. With its robust wholesale business, it has become well-known for</w:t>
      </w:r>
      <w:r>
        <w:rPr>
          <w:spacing w:val="1"/>
        </w:rPr>
        <w:t> </w:t>
      </w:r>
      <w:r>
        <w:rPr/>
        <w:t>delivering cold-pressed juices directly to consumers' doorsteps. Under PlantX's management, the</w:t>
      </w:r>
      <w:r>
        <w:rPr>
          <w:spacing w:val="1"/>
        </w:rPr>
        <w:t> </w:t>
      </w:r>
      <w:r>
        <w:rPr/>
        <w:t>website has experienced impressive growth month over month. Excitingly, Little West wholesale</w:t>
      </w:r>
      <w:r>
        <w:rPr>
          <w:spacing w:val="1"/>
        </w:rPr>
        <w:t> </w:t>
      </w:r>
      <w:r>
        <w:rPr/>
        <w:t>business is gearing up</w:t>
      </w:r>
      <w:r>
        <w:rPr>
          <w:spacing w:val="-3"/>
        </w:rPr>
        <w:t> </w:t>
      </w:r>
      <w:r>
        <w:rPr/>
        <w:t>for expansion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ambitious</w:t>
      </w:r>
      <w:r>
        <w:rPr>
          <w:spacing w:val="1"/>
        </w:rPr>
        <w:t> </w:t>
      </w:r>
      <w:r>
        <w:rPr/>
        <w:t>plans to</w:t>
      </w:r>
      <w:r>
        <w:rPr>
          <w:spacing w:val="-2"/>
        </w:rPr>
        <w:t> </w:t>
      </w:r>
      <w:r>
        <w:rPr/>
        <w:t>reach</w:t>
      </w:r>
      <w:r>
        <w:rPr>
          <w:spacing w:val="-1"/>
        </w:rPr>
        <w:t> </w:t>
      </w:r>
      <w:r>
        <w:rPr/>
        <w:t>every state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2024.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2286635</wp:posOffset>
            </wp:positionH>
            <wp:positionV relativeFrom="paragraph">
              <wp:posOffset>152381</wp:posOffset>
            </wp:positionV>
            <wp:extent cx="2976861" cy="181032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61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1"/>
        <w:ind w:left="116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color w:val="4D5155"/>
          <w:sz w:val="21"/>
        </w:rPr>
        <w:t>Portfolio</w:t>
      </w:r>
      <w:r>
        <w:rPr>
          <w:rFonts w:ascii="Arial"/>
          <w:b/>
          <w:color w:val="4D5155"/>
          <w:spacing w:val="-6"/>
          <w:sz w:val="21"/>
        </w:rPr>
        <w:t> </w:t>
      </w:r>
      <w:r>
        <w:rPr>
          <w:rFonts w:ascii="Arial"/>
          <w:b/>
          <w:color w:val="4D5155"/>
          <w:sz w:val="21"/>
        </w:rPr>
        <w:t>Coffee</w:t>
      </w:r>
      <w:r>
        <w:rPr>
          <w:rFonts w:ascii="Arial"/>
          <w:b/>
          <w:color w:val="4D5155"/>
          <w:spacing w:val="53"/>
          <w:sz w:val="21"/>
        </w:rPr>
        <w:t> </w:t>
      </w:r>
      <w:hyperlink r:id="rId9">
        <w:r>
          <w:rPr>
            <w:rFonts w:ascii="Arial"/>
            <w:b/>
            <w:color w:val="0000FF"/>
            <w:sz w:val="22"/>
            <w:u w:val="thick" w:color="0000FF"/>
          </w:rPr>
          <w:t>https://portfoliocoffee.ca/</w:t>
        </w:r>
      </w:hyperlink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414"/>
        <w:jc w:val="both"/>
      </w:pPr>
      <w:r>
        <w:rPr>
          <w:spacing w:val="-1"/>
        </w:rPr>
        <w:t>Portfolio</w:t>
      </w:r>
      <w:r>
        <w:rPr>
          <w:spacing w:val="-14"/>
        </w:rPr>
        <w:t> </w:t>
      </w:r>
      <w:r>
        <w:rPr>
          <w:spacing w:val="-1"/>
        </w:rPr>
        <w:t>Coffee</w:t>
      </w:r>
      <w:r>
        <w:rPr>
          <w:spacing w:val="-17"/>
        </w:rPr>
        <w:t> </w:t>
      </w:r>
      <w:r>
        <w:rPr>
          <w:spacing w:val="-1"/>
        </w:rPr>
        <w:t>brings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world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premium</w:t>
      </w:r>
      <w:r>
        <w:rPr>
          <w:spacing w:val="-12"/>
        </w:rPr>
        <w:t> </w:t>
      </w:r>
      <w:r>
        <w:rPr/>
        <w:t>coffee</w:t>
      </w:r>
      <w:r>
        <w:rPr>
          <w:spacing w:val="-14"/>
        </w:rPr>
        <w:t> </w:t>
      </w:r>
      <w:r>
        <w:rPr/>
        <w:t>to</w:t>
      </w:r>
      <w:r>
        <w:rPr>
          <w:spacing w:val="-17"/>
        </w:rPr>
        <w:t> </w:t>
      </w:r>
      <w:r>
        <w:rPr/>
        <w:t>its</w:t>
      </w:r>
      <w:r>
        <w:rPr>
          <w:spacing w:val="-16"/>
        </w:rPr>
        <w:t> </w:t>
      </w:r>
      <w:r>
        <w:rPr/>
        <w:t>customers'</w:t>
      </w:r>
      <w:r>
        <w:rPr>
          <w:spacing w:val="-14"/>
        </w:rPr>
        <w:t> </w:t>
      </w:r>
      <w:r>
        <w:rPr/>
        <w:t>doorsteps.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direct</w:t>
      </w:r>
      <w:r>
        <w:rPr>
          <w:spacing w:val="-14"/>
        </w:rPr>
        <w:t> </w:t>
      </w:r>
      <w:r>
        <w:rPr/>
        <w:t>sourcing</w:t>
      </w:r>
      <w:r>
        <w:rPr>
          <w:spacing w:val="-59"/>
        </w:rPr>
        <w:t> </w:t>
      </w:r>
      <w:r>
        <w:rPr/>
        <w:t>approach,</w:t>
      </w:r>
      <w:r>
        <w:rPr>
          <w:spacing w:val="-8"/>
        </w:rPr>
        <w:t> </w:t>
      </w:r>
      <w:r>
        <w:rPr/>
        <w:t>Portfolio</w:t>
      </w:r>
      <w:r>
        <w:rPr>
          <w:spacing w:val="-9"/>
        </w:rPr>
        <w:t> </w:t>
      </w:r>
      <w:r>
        <w:rPr/>
        <w:t>Coffee</w:t>
      </w:r>
      <w:r>
        <w:rPr>
          <w:spacing w:val="-9"/>
        </w:rPr>
        <w:t> </w:t>
      </w:r>
      <w:r>
        <w:rPr/>
        <w:t>curates</w:t>
      </w:r>
      <w:r>
        <w:rPr>
          <w:spacing w:val="-7"/>
        </w:rPr>
        <w:t> </w:t>
      </w:r>
      <w:r>
        <w:rPr/>
        <w:t>high-quality</w:t>
      </w:r>
      <w:r>
        <w:rPr>
          <w:spacing w:val="-8"/>
        </w:rPr>
        <w:t> </w:t>
      </w:r>
      <w:r>
        <w:rPr/>
        <w:t>beans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renowned</w:t>
      </w:r>
      <w:r>
        <w:rPr>
          <w:spacing w:val="-8"/>
        </w:rPr>
        <w:t> </w:t>
      </w:r>
      <w:r>
        <w:rPr/>
        <w:t>farms</w:t>
      </w:r>
      <w:r>
        <w:rPr>
          <w:spacing w:val="-8"/>
        </w:rPr>
        <w:t> </w:t>
      </w:r>
      <w:r>
        <w:rPr/>
        <w:t>across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globe.</w:t>
      </w:r>
      <w:r>
        <w:rPr>
          <w:spacing w:val="-8"/>
        </w:rPr>
        <w:t> </w:t>
      </w:r>
      <w:r>
        <w:rPr/>
        <w:t>Hand-</w:t>
      </w:r>
      <w:r>
        <w:rPr>
          <w:spacing w:val="-59"/>
        </w:rPr>
        <w:t> </w:t>
      </w:r>
      <w:r>
        <w:rPr/>
        <w:t>roasted fresh in their Toronto, Canada roastery, their coffee is delivered straight to customers via</w:t>
      </w:r>
      <w:r>
        <w:rPr>
          <w:spacing w:val="1"/>
        </w:rPr>
        <w:t> </w:t>
      </w:r>
      <w:r>
        <w:rPr/>
        <w:t>this ecommerce</w:t>
      </w:r>
      <w:r>
        <w:rPr>
          <w:spacing w:val="-2"/>
        </w:rPr>
        <w:t> </w:t>
      </w:r>
      <w:r>
        <w:rPr/>
        <w:t>platform.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2247773</wp:posOffset>
            </wp:positionH>
            <wp:positionV relativeFrom="paragraph">
              <wp:posOffset>152446</wp:posOffset>
            </wp:positionV>
            <wp:extent cx="3091337" cy="1867662"/>
            <wp:effectExtent l="0" t="0" r="0" b="0"/>
            <wp:wrapTopAndBottom/>
            <wp:docPr id="9" name="image5.jpeg" descr="A screenshot of a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37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5296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spacing w:before="94"/>
        <w:ind w:left="17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EH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Coffee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(</w:t>
      </w:r>
      <w:hyperlink r:id="rId19">
        <w:r>
          <w:rPr>
            <w:rFonts w:ascii="Arial"/>
            <w:b/>
            <w:color w:val="0000FF"/>
            <w:sz w:val="22"/>
            <w:u w:val="thick" w:color="0000FF"/>
          </w:rPr>
          <w:t>https://ehroasters.com/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94"/>
        <w:ind w:left="116" w:right="415"/>
        <w:jc w:val="both"/>
      </w:pPr>
      <w:r>
        <w:rPr/>
        <w:t>EH</w:t>
      </w:r>
      <w:r>
        <w:rPr>
          <w:spacing w:val="-4"/>
        </w:rPr>
        <w:t> </w:t>
      </w:r>
      <w:r>
        <w:rPr/>
        <w:t>Roasters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specialty</w:t>
      </w:r>
      <w:r>
        <w:rPr>
          <w:spacing w:val="-2"/>
        </w:rPr>
        <w:t> </w:t>
      </w:r>
      <w:r>
        <w:rPr/>
        <w:t>coffee</w:t>
      </w:r>
      <w:r>
        <w:rPr>
          <w:spacing w:val="-3"/>
        </w:rPr>
        <w:t> </w:t>
      </w:r>
      <w:r>
        <w:rPr/>
        <w:t>company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prioritizes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wholesale</w:t>
      </w:r>
      <w:r>
        <w:rPr>
          <w:spacing w:val="-2"/>
        </w:rPr>
        <w:t> </w:t>
      </w:r>
      <w:r>
        <w:rPr/>
        <w:t>side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industry.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9"/>
        </w:rPr>
        <w:t> </w:t>
      </w:r>
      <w:r>
        <w:rPr/>
        <w:t>strong emphasis on traceability, they directly source beans from farms, ensuring a transparent</w:t>
      </w:r>
      <w:r>
        <w:rPr>
          <w:spacing w:val="1"/>
        </w:rPr>
        <w:t> </w:t>
      </w:r>
      <w:r>
        <w:rPr/>
        <w:t>supply chain at Eh Coffee. Moreover, they offer private label solutions to numerous coffee shops in</w:t>
      </w:r>
      <w:r>
        <w:rPr>
          <w:spacing w:val="-59"/>
        </w:rPr>
        <w:t> </w:t>
      </w:r>
      <w:r>
        <w:rPr/>
        <w:t>the</w:t>
      </w:r>
      <w:r>
        <w:rPr>
          <w:spacing w:val="-1"/>
        </w:rPr>
        <w:t> </w:t>
      </w:r>
      <w:r>
        <w:rPr/>
        <w:t>Toronto</w:t>
      </w:r>
      <w:r>
        <w:rPr>
          <w:spacing w:val="-2"/>
        </w:rPr>
        <w:t> </w:t>
      </w:r>
      <w:r>
        <w:rPr/>
        <w:t>area,</w:t>
      </w:r>
      <w:r>
        <w:rPr>
          <w:spacing w:val="-1"/>
        </w:rPr>
        <w:t> </w:t>
      </w:r>
      <w:r>
        <w:rPr/>
        <w:t>tailoring their</w:t>
      </w:r>
      <w:r>
        <w:rPr>
          <w:spacing w:val="-1"/>
        </w:rPr>
        <w:t> </w:t>
      </w:r>
      <w:r>
        <w:rPr/>
        <w:t>offerings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suit</w:t>
      </w:r>
      <w:r>
        <w:rPr>
          <w:spacing w:val="-1"/>
        </w:rPr>
        <w:t> </w:t>
      </w:r>
      <w:r>
        <w:rPr/>
        <w:t>each unique brand.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2208910</wp:posOffset>
            </wp:positionH>
            <wp:positionV relativeFrom="paragraph">
              <wp:posOffset>151733</wp:posOffset>
            </wp:positionV>
            <wp:extent cx="3176352" cy="1945481"/>
            <wp:effectExtent l="0" t="0" r="0" b="0"/>
            <wp:wrapTopAndBottom/>
            <wp:docPr id="11" name="image6.jpeg" descr="A screen shot of a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352" cy="194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2"/>
        <w:ind w:left="116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BloomboxClub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(</w:t>
      </w:r>
      <w:hyperlink r:id="rId21">
        <w:r>
          <w:rPr>
            <w:rFonts w:ascii="Arial"/>
            <w:b/>
            <w:color w:val="0000FF"/>
            <w:sz w:val="22"/>
            <w:u w:val="thick" w:color="0000FF"/>
          </w:rPr>
          <w:t>https://bloomboxclub.com/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414"/>
        <w:jc w:val="both"/>
      </w:pPr>
      <w:r>
        <w:rPr/>
        <w:t>Bloombox Club is an online platform, offering a curated selection of indoor plants and unique</w:t>
      </w:r>
      <w:r>
        <w:rPr>
          <w:spacing w:val="1"/>
        </w:rPr>
        <w:t> </w:t>
      </w:r>
      <w:r>
        <w:rPr/>
        <w:t>botanical accessories. With a passion for green living and the positive impact of nature, Bloombox</w:t>
      </w:r>
      <w:r>
        <w:rPr>
          <w:spacing w:val="1"/>
        </w:rPr>
        <w:t> </w:t>
      </w:r>
      <w:r>
        <w:rPr/>
        <w:t>Club empowers plant enthusiasts to transform their spaces into green sanctuaries. Their hand-</w:t>
      </w:r>
      <w:r>
        <w:rPr>
          <w:spacing w:val="1"/>
        </w:rPr>
        <w:t> </w:t>
      </w:r>
      <w:r>
        <w:rPr/>
        <w:t>picked collection of plants is not only aesthetically pleasing but also scientifically proven to improve</w:t>
      </w:r>
      <w:r>
        <w:rPr>
          <w:spacing w:val="-59"/>
        </w:rPr>
        <w:t> </w:t>
      </w:r>
      <w:r>
        <w:rPr/>
        <w:t>air quality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overall well-being.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2247773</wp:posOffset>
            </wp:positionH>
            <wp:positionV relativeFrom="paragraph">
              <wp:posOffset>151436</wp:posOffset>
            </wp:positionV>
            <wp:extent cx="3062669" cy="1875853"/>
            <wp:effectExtent l="0" t="0" r="0" b="0"/>
            <wp:wrapTopAndBottom/>
            <wp:docPr id="13" name="image7.jpeg" descr="A screenshot of a websit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69" cy="187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632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spacing w:before="94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Locavore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Bar &amp;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Grill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(</w:t>
      </w:r>
      <w:hyperlink r:id="rId23">
        <w:r>
          <w:rPr>
            <w:rFonts w:ascii="Arial"/>
            <w:b/>
            <w:color w:val="0000FF"/>
            <w:sz w:val="22"/>
            <w:u w:val="thick" w:color="0000FF"/>
          </w:rPr>
          <w:t>https://locavorebarandgrill.com/</w:t>
        </w:r>
      </w:hyperlink>
      <w:r>
        <w:rPr>
          <w:rFonts w:ascii="Arial"/>
          <w:b/>
          <w:sz w:val="22"/>
        </w:rPr>
        <w:t>)</w:t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BodyText"/>
        <w:spacing w:before="94"/>
        <w:ind w:left="116"/>
      </w:pPr>
      <w:r>
        <w:rPr/>
        <w:t>At Locavore Bar and Grill, the fusion of a delectable food truck, lively bar, and artisanal coffee shop</w:t>
      </w:r>
      <w:r>
        <w:rPr>
          <w:spacing w:val="-59"/>
        </w:rPr>
        <w:t> </w:t>
      </w:r>
      <w:r>
        <w:rPr/>
        <w:t>creates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unforgettable</w:t>
      </w:r>
      <w:r>
        <w:rPr>
          <w:spacing w:val="-3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centered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community,</w:t>
      </w:r>
      <w:r>
        <w:rPr>
          <w:spacing w:val="-2"/>
        </w:rPr>
        <w:t> </w:t>
      </w:r>
      <w:r>
        <w:rPr/>
        <w:t>flavor,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sustainability.</w:t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3.911999pt;margin-top:11.92417pt;width:473.55pt;height:445.8pt;mso-position-horizontal-relative:page;mso-position-vertical-relative:paragraph;z-index:-15721472;mso-wrap-distance-left:0;mso-wrap-distance-right:0" coordorigin="1278,238" coordsize="9471,8916">
            <v:shape style="position:absolute;left:1278;top:238;width:4932;height:4248" type="#_x0000_t75" alt="A sign on a building  Description automatically generated" stroked="false">
              <v:imagedata r:id="rId24" o:title=""/>
            </v:shape>
            <v:shape style="position:absolute;left:1278;top:4534;width:4932;height:4620" type="#_x0000_t75" alt="A room with a glass roof  Description automatically generated" stroked="false">
              <v:imagedata r:id="rId25" o:title=""/>
            </v:shape>
            <v:shape style="position:absolute;left:6271;top:238;width:4478;height:8916" type="#_x0000_t75" stroked="false">
              <v:imagedata r:id="rId26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8368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4"/>
      </w:pPr>
      <w:r>
        <w:rPr/>
        <w:t>XMarket</w:t>
      </w:r>
      <w:r>
        <w:rPr>
          <w:spacing w:val="-3"/>
        </w:rPr>
        <w:t> </w:t>
      </w:r>
      <w:r>
        <w:rPr/>
        <w:t>Store</w:t>
      </w:r>
      <w:r>
        <w:rPr>
          <w:spacing w:val="-3"/>
        </w:rPr>
        <w:t> </w:t>
      </w:r>
      <w:r>
        <w:rPr/>
        <w:t>in Venice</w:t>
      </w:r>
      <w:r>
        <w:rPr>
          <w:spacing w:val="-1"/>
        </w:rPr>
        <w:t> </w:t>
      </w:r>
      <w:r>
        <w:rPr/>
        <w:t>Beach:</w:t>
      </w:r>
    </w:p>
    <w:p>
      <w:pPr>
        <w:pStyle w:val="BodyText"/>
        <w:spacing w:before="6"/>
        <w:rPr>
          <w:rFonts w:ascii="Arial"/>
          <w:b/>
          <w:sz w:val="17"/>
        </w:rPr>
      </w:pPr>
      <w:r>
        <w:rPr/>
        <w:pict>
          <v:group style="position:absolute;margin-left:84.224998pt;margin-top:12.052608pt;width:447.35pt;height:137.15pt;mso-position-horizontal-relative:page;mso-position-vertical-relative:paragraph;z-index:-15720448;mso-wrap-distance-left:0;mso-wrap-distance-right:0" coordorigin="1684,241" coordsize="8947,2743">
            <v:shape style="position:absolute;left:1684;top:241;width:4572;height:2737" type="#_x0000_t75" stroked="false">
              <v:imagedata r:id="rId27" o:title=""/>
            </v:shape>
            <v:shape style="position:absolute;left:6320;top:241;width:4310;height:2743" type="#_x0000_t75" alt="A store front with glass doors  Description automatically generated" stroked="false">
              <v:imagedata r:id="rId28" o:title=""/>
            </v:shape>
            <w10:wrap type="topAndBottom"/>
          </v:group>
        </w:pict>
      </w:r>
    </w:p>
    <w:p>
      <w:pPr>
        <w:tabs>
          <w:tab w:pos="4529" w:val="left" w:leader="none"/>
        </w:tabs>
        <w:spacing w:before="10"/>
        <w:ind w:left="0" w:right="1273" w:firstLine="0"/>
        <w:jc w:val="right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</w:rPr>
        <w:t>(Dream</w:t>
      </w:r>
      <w:r>
        <w:rPr>
          <w:rFonts w:ascii="Arial"/>
          <w:b/>
          <w:i/>
          <w:spacing w:val="-3"/>
          <w:sz w:val="18"/>
        </w:rPr>
        <w:t> </w:t>
      </w:r>
      <w:r>
        <w:rPr>
          <w:rFonts w:ascii="Arial"/>
          <w:b/>
          <w:i/>
          <w:sz w:val="18"/>
        </w:rPr>
        <w:t>Pops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Pop</w:t>
      </w:r>
      <w:r>
        <w:rPr>
          <w:rFonts w:ascii="Arial"/>
          <w:b/>
          <w:i/>
          <w:spacing w:val="-3"/>
          <w:sz w:val="18"/>
        </w:rPr>
        <w:t> </w:t>
      </w:r>
      <w:r>
        <w:rPr>
          <w:rFonts w:ascii="Arial"/>
          <w:b/>
          <w:i/>
          <w:sz w:val="18"/>
        </w:rPr>
        <w:t>Up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Collaboration)</w:t>
        <w:tab/>
        <w:t>(Future</w:t>
      </w:r>
      <w:r>
        <w:rPr>
          <w:rFonts w:ascii="Arial"/>
          <w:b/>
          <w:i/>
          <w:spacing w:val="-2"/>
          <w:sz w:val="18"/>
        </w:rPr>
        <w:t> </w:t>
      </w:r>
      <w:r>
        <w:rPr>
          <w:rFonts w:ascii="Arial"/>
          <w:b/>
          <w:i/>
          <w:sz w:val="18"/>
        </w:rPr>
        <w:t>Farm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Pop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Up</w:t>
      </w:r>
      <w:r>
        <w:rPr>
          <w:rFonts w:ascii="Arial"/>
          <w:b/>
          <w:i/>
          <w:spacing w:val="-6"/>
          <w:sz w:val="18"/>
        </w:rPr>
        <w:t> </w:t>
      </w:r>
      <w:r>
        <w:rPr>
          <w:rFonts w:ascii="Arial"/>
          <w:b/>
          <w:i/>
          <w:sz w:val="18"/>
        </w:rPr>
        <w:t>Collaboration)</w:t>
      </w:r>
    </w:p>
    <w:p>
      <w:pPr>
        <w:pStyle w:val="BodyText"/>
        <w:spacing w:before="6"/>
        <w:rPr>
          <w:rFonts w:ascii="Arial"/>
          <w:b/>
          <w:i/>
          <w:sz w:val="24"/>
        </w:rPr>
      </w:pPr>
      <w:r>
        <w:rPr/>
        <w:pict>
          <v:group style="position:absolute;margin-left:84.224998pt;margin-top:16.070879pt;width:448.05pt;height:127.75pt;mso-position-horizontal-relative:page;mso-position-vertical-relative:paragraph;z-index:-15719936;mso-wrap-distance-left:0;mso-wrap-distance-right:0" coordorigin="1684,321" coordsize="8961,2555">
            <v:shape style="position:absolute;left:1684;top:324;width:4571;height:2552" type="#_x0000_t75" alt="A store front with a sign  Description automatically generated" stroked="false">
              <v:imagedata r:id="rId29" o:title=""/>
            </v:shape>
            <v:shape style="position:absolute;left:6320;top:321;width:4324;height:2555" type="#_x0000_t75" alt="A store front with a sign on the window  Description automatically generated" stroked="false">
              <v:imagedata r:id="rId30" o:title=""/>
            </v:shape>
            <w10:wrap type="topAndBottom"/>
          </v:group>
        </w:pict>
      </w:r>
    </w:p>
    <w:p>
      <w:pPr>
        <w:tabs>
          <w:tab w:pos="4824" w:val="left" w:leader="none"/>
        </w:tabs>
        <w:spacing w:before="8"/>
        <w:ind w:left="0" w:right="1211" w:firstLine="0"/>
        <w:jc w:val="right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</w:rPr>
        <w:t>(Saint</w:t>
      </w:r>
      <w:r>
        <w:rPr>
          <w:rFonts w:ascii="Arial"/>
          <w:b/>
          <w:i/>
          <w:spacing w:val="-2"/>
          <w:sz w:val="18"/>
        </w:rPr>
        <w:t> </w:t>
      </w:r>
      <w:r>
        <w:rPr>
          <w:rFonts w:ascii="Arial"/>
          <w:b/>
          <w:i/>
          <w:sz w:val="18"/>
        </w:rPr>
        <w:t>James</w:t>
      </w:r>
      <w:r>
        <w:rPr>
          <w:rFonts w:ascii="Arial"/>
          <w:b/>
          <w:i/>
          <w:spacing w:val="-2"/>
          <w:sz w:val="18"/>
        </w:rPr>
        <w:t> </w:t>
      </w:r>
      <w:r>
        <w:rPr>
          <w:rFonts w:ascii="Arial"/>
          <w:b/>
          <w:i/>
          <w:sz w:val="18"/>
        </w:rPr>
        <w:t>Iced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Tea</w:t>
      </w:r>
      <w:r>
        <w:rPr>
          <w:rFonts w:ascii="Arial"/>
          <w:b/>
          <w:i/>
          <w:spacing w:val="-4"/>
          <w:sz w:val="18"/>
        </w:rPr>
        <w:t> </w:t>
      </w:r>
      <w:r>
        <w:rPr>
          <w:rFonts w:ascii="Arial"/>
          <w:b/>
          <w:i/>
          <w:sz w:val="18"/>
        </w:rPr>
        <w:t>Pop</w:t>
      </w:r>
      <w:r>
        <w:rPr>
          <w:rFonts w:ascii="Arial"/>
          <w:b/>
          <w:i/>
          <w:spacing w:val="-2"/>
          <w:sz w:val="18"/>
        </w:rPr>
        <w:t> </w:t>
      </w:r>
      <w:r>
        <w:rPr>
          <w:rFonts w:ascii="Arial"/>
          <w:b/>
          <w:i/>
          <w:sz w:val="18"/>
        </w:rPr>
        <w:t>Up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Collaboration)</w:t>
        <w:tab/>
        <w:t>(Minor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Figures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Pop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Up</w:t>
      </w:r>
      <w:r>
        <w:rPr>
          <w:rFonts w:ascii="Arial"/>
          <w:b/>
          <w:i/>
          <w:spacing w:val="-4"/>
          <w:sz w:val="18"/>
        </w:rPr>
        <w:t> </w:t>
      </w:r>
      <w:r>
        <w:rPr>
          <w:rFonts w:ascii="Arial"/>
          <w:b/>
          <w:i/>
          <w:sz w:val="18"/>
        </w:rPr>
        <w:t>Collaboration)</w:t>
      </w:r>
    </w:p>
    <w:p>
      <w:pPr>
        <w:pStyle w:val="BodyText"/>
        <w:spacing w:before="1"/>
        <w:rPr>
          <w:rFonts w:ascii="Arial"/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2428113</wp:posOffset>
            </wp:positionH>
            <wp:positionV relativeFrom="paragraph">
              <wp:posOffset>171715</wp:posOffset>
            </wp:positionV>
            <wp:extent cx="2954032" cy="1890141"/>
            <wp:effectExtent l="0" t="0" r="0" b="0"/>
            <wp:wrapTopAndBottom/>
            <wp:docPr id="15" name="image15.jpeg" descr="A store front with a blue awning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32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63" w:right="1505" w:firstLine="0"/>
        <w:jc w:val="center"/>
        <w:rPr>
          <w:rFonts w:ascii="Arial"/>
          <w:b/>
          <w:i/>
          <w:sz w:val="18"/>
        </w:rPr>
      </w:pPr>
      <w:r>
        <w:rPr>
          <w:sz w:val="22"/>
        </w:rPr>
        <w:t>(</w:t>
      </w:r>
      <w:r>
        <w:rPr>
          <w:rFonts w:ascii="Arial"/>
          <w:b/>
          <w:i/>
          <w:sz w:val="18"/>
        </w:rPr>
        <w:t>TiNDLE</w:t>
      </w:r>
      <w:r>
        <w:rPr>
          <w:rFonts w:ascii="Arial"/>
          <w:b/>
          <w:i/>
          <w:spacing w:val="-2"/>
          <w:sz w:val="18"/>
        </w:rPr>
        <w:t> </w:t>
      </w:r>
      <w:r>
        <w:rPr>
          <w:rFonts w:ascii="Arial"/>
          <w:b/>
          <w:i/>
          <w:sz w:val="18"/>
        </w:rPr>
        <w:t>Pop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Up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z w:val="18"/>
        </w:rPr>
        <w:t>Collaboration)</w:t>
      </w:r>
    </w:p>
    <w:p>
      <w:pPr>
        <w:spacing w:after="0"/>
        <w:jc w:val="center"/>
        <w:rPr>
          <w:rFonts w:ascii="Arial"/>
          <w:sz w:val="18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rFonts w:ascii="Arial"/>
          <w:b/>
          <w:i/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888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rFonts w:ascii="Arial"/>
          <w:b/>
          <w:i/>
          <w:sz w:val="17"/>
        </w:rPr>
      </w:pPr>
    </w:p>
    <w:p>
      <w:pPr>
        <w:pStyle w:val="Heading1"/>
        <w:spacing w:before="94"/>
        <w:jc w:val="both"/>
      </w:pPr>
      <w:r>
        <w:rPr/>
        <w:t>FINANCIAL</w:t>
      </w:r>
      <w:r>
        <w:rPr>
          <w:spacing w:val="-14"/>
        </w:rPr>
        <w:t> </w:t>
      </w:r>
      <w:r>
        <w:rPr/>
        <w:t>STATEMENTS</w:t>
      </w:r>
      <w:r>
        <w:rPr>
          <w:spacing w:val="-15"/>
        </w:rPr>
        <w:t> </w:t>
      </w:r>
      <w:r>
        <w:rPr/>
        <w:t>GOING</w:t>
      </w:r>
      <w:r>
        <w:rPr>
          <w:spacing w:val="-14"/>
        </w:rPr>
        <w:t> </w:t>
      </w:r>
      <w:r>
        <w:rPr/>
        <w:t>CONCERN</w:t>
      </w:r>
      <w:r>
        <w:rPr>
          <w:spacing w:val="-14"/>
        </w:rPr>
        <w:t> </w:t>
      </w:r>
      <w:r>
        <w:rPr/>
        <w:t>ASSUMPTION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 w:right="136"/>
        <w:jc w:val="both"/>
      </w:pPr>
      <w:r>
        <w:rPr/>
        <w:t>The</w:t>
      </w:r>
      <w:r>
        <w:rPr>
          <w:spacing w:val="-4"/>
        </w:rPr>
        <w:t> </w:t>
      </w:r>
      <w:r>
        <w:rPr/>
        <w:t>consolidated</w:t>
      </w:r>
      <w:r>
        <w:rPr>
          <w:spacing w:val="-3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statements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prepared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basis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accounting</w:t>
      </w:r>
      <w:r>
        <w:rPr>
          <w:spacing w:val="-59"/>
        </w:rPr>
        <w:t> </w:t>
      </w:r>
      <w:r>
        <w:rPr/>
        <w:t>principles applicable to a going concern under IFRS. The use of these principles under IFRS assumes</w:t>
      </w:r>
      <w:r>
        <w:rPr>
          <w:spacing w:val="-59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operation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foreseeable</w:t>
      </w:r>
      <w:r>
        <w:rPr>
          <w:spacing w:val="-4"/>
        </w:rPr>
        <w:t> </w:t>
      </w:r>
      <w:r>
        <w:rPr/>
        <w:t>future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realize</w:t>
      </w:r>
      <w:r>
        <w:rPr>
          <w:spacing w:val="-4"/>
        </w:rPr>
        <w:t> </w:t>
      </w:r>
      <w:r>
        <w:rPr/>
        <w:t>assets</w:t>
      </w:r>
      <w:r>
        <w:rPr>
          <w:spacing w:val="-58"/>
        </w:rPr>
        <w:t> </w:t>
      </w:r>
      <w:r>
        <w:rPr/>
        <w:t>and discharge its liabilities in the normal course of operations. The Company incurs operating losses,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casts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doubt about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Company’s ability to</w:t>
      </w:r>
      <w:r>
        <w:rPr>
          <w:spacing w:val="-3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going</w:t>
      </w:r>
      <w:r>
        <w:rPr>
          <w:spacing w:val="-1"/>
        </w:rPr>
        <w:t> </w:t>
      </w:r>
      <w:r>
        <w:rPr/>
        <w:t>concern.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6" w:right="134"/>
        <w:jc w:val="both"/>
      </w:pPr>
      <w:r>
        <w:rPr>
          <w:spacing w:val="-1"/>
        </w:rPr>
        <w:t>Management’s</w:t>
      </w:r>
      <w:r>
        <w:rPr>
          <w:spacing w:val="-14"/>
        </w:rPr>
        <w:t> </w:t>
      </w:r>
      <w:r>
        <w:rPr>
          <w:spacing w:val="-1"/>
        </w:rPr>
        <w:t>current</w:t>
      </w:r>
      <w:r>
        <w:rPr>
          <w:spacing w:val="-12"/>
        </w:rPr>
        <w:t> </w:t>
      </w:r>
      <w:r>
        <w:rPr>
          <w:spacing w:val="-1"/>
        </w:rPr>
        <w:t>strategy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careful</w:t>
      </w:r>
      <w:r>
        <w:rPr>
          <w:spacing w:val="-15"/>
        </w:rPr>
        <w:t> </w:t>
      </w:r>
      <w:r>
        <w:rPr>
          <w:spacing w:val="-1"/>
        </w:rPr>
        <w:t>cost</w:t>
      </w:r>
      <w:r>
        <w:rPr>
          <w:spacing w:val="-12"/>
        </w:rPr>
        <w:t> </w:t>
      </w:r>
      <w:r>
        <w:rPr>
          <w:spacing w:val="-1"/>
        </w:rPr>
        <w:t>control</w:t>
      </w:r>
      <w:r>
        <w:rPr>
          <w:spacing w:val="-13"/>
        </w:rPr>
        <w:t> </w:t>
      </w:r>
      <w:r>
        <w:rPr>
          <w:spacing w:val="-1"/>
        </w:rPr>
        <w:t>while</w:t>
      </w:r>
      <w:r>
        <w:rPr>
          <w:spacing w:val="-11"/>
        </w:rPr>
        <w:t> </w:t>
      </w:r>
      <w:r>
        <w:rPr>
          <w:spacing w:val="-1"/>
        </w:rPr>
        <w:t>pursuing</w:t>
      </w:r>
      <w:r>
        <w:rPr>
          <w:spacing w:val="-12"/>
        </w:rPr>
        <w:t> </w:t>
      </w:r>
      <w:r>
        <w:rPr/>
        <w:t>opportunities</w:t>
      </w:r>
      <w:r>
        <w:rPr>
          <w:spacing w:val="-11"/>
        </w:rPr>
        <w:t> </w:t>
      </w:r>
      <w:r>
        <w:rPr/>
        <w:t>within</w:t>
      </w:r>
      <w:r>
        <w:rPr>
          <w:spacing w:val="-12"/>
        </w:rPr>
        <w:t> </w:t>
      </w:r>
      <w:r>
        <w:rPr/>
        <w:t>various</w:t>
      </w:r>
      <w:r>
        <w:rPr>
          <w:spacing w:val="-13"/>
        </w:rPr>
        <w:t> </w:t>
      </w:r>
      <w:r>
        <w:rPr/>
        <w:t>market</w:t>
      </w:r>
      <w:r>
        <w:rPr>
          <w:spacing w:val="1"/>
        </w:rPr>
        <w:t> </w:t>
      </w:r>
      <w:r>
        <w:rPr/>
        <w:t>sectors.</w:t>
      </w:r>
      <w:r>
        <w:rPr>
          <w:spacing w:val="-11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recognizes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Company’s</w:t>
      </w:r>
      <w:r>
        <w:rPr>
          <w:spacing w:val="-11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cash</w:t>
      </w:r>
      <w:r>
        <w:rPr>
          <w:spacing w:val="-12"/>
        </w:rPr>
        <w:t> </w:t>
      </w:r>
      <w:r>
        <w:rPr/>
        <w:t>reserves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coming</w:t>
      </w:r>
      <w:r>
        <w:rPr>
          <w:spacing w:val="-9"/>
        </w:rPr>
        <w:t> </w:t>
      </w:r>
      <w:r>
        <w:rPr/>
        <w:t>year</w:t>
      </w:r>
      <w:r>
        <w:rPr>
          <w:spacing w:val="-59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management intends to assess and act on these options throughout the course of the year, there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no assurance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steps</w:t>
      </w:r>
      <w:r>
        <w:rPr>
          <w:spacing w:val="-4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takes</w:t>
      </w:r>
      <w:r>
        <w:rPr>
          <w:spacing w:val="1"/>
        </w:rPr>
        <w:t> </w:t>
      </w:r>
      <w:r>
        <w:rPr/>
        <w:t>will be successful.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5"/>
        <w:jc w:val="both"/>
      </w:pPr>
      <w:r>
        <w:rPr/>
        <w:t>In the event that cash flow from operations, together with the proceeds from any future financings are</w:t>
      </w:r>
      <w:r>
        <w:rPr>
          <w:spacing w:val="1"/>
        </w:rPr>
        <w:t> </w:t>
      </w:r>
      <w:r>
        <w:rPr/>
        <w:t>insufficient to cover planned expenditures, management will allocate available resources in such</w:t>
      </w:r>
      <w:r>
        <w:rPr>
          <w:spacing w:val="1"/>
        </w:rPr>
        <w:t> </w:t>
      </w:r>
      <w:r>
        <w:rPr/>
        <w:t>manner as deemed to be in the Company’s best interest. This may result in a significant reduction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existing and</w:t>
      </w:r>
      <w:r>
        <w:rPr>
          <w:spacing w:val="-2"/>
        </w:rPr>
        <w:t> </w:t>
      </w:r>
      <w:r>
        <w:rPr/>
        <w:t>planned operations.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116" w:right="135"/>
        <w:jc w:val="both"/>
      </w:pPr>
      <w:r>
        <w:rPr/>
        <w:t>During the year ended March 31, 2023, the Company generated revenue of $</w:t>
      </w:r>
      <w:r>
        <w:rPr>
          <w:sz w:val="20"/>
        </w:rPr>
        <w:t>13,299,891 </w:t>
      </w:r>
      <w:r>
        <w:rPr/>
        <w:t>(March 31,</w:t>
      </w:r>
      <w:r>
        <w:rPr>
          <w:spacing w:val="1"/>
        </w:rPr>
        <w:t> </w:t>
      </w:r>
      <w:r>
        <w:rPr/>
        <w:t>2022</w:t>
      </w:r>
      <w:r>
        <w:rPr>
          <w:spacing w:val="50"/>
        </w:rPr>
        <w:t> </w:t>
      </w:r>
      <w:r>
        <w:rPr/>
        <w:t>-</w:t>
      </w:r>
      <w:r>
        <w:rPr>
          <w:spacing w:val="51"/>
        </w:rPr>
        <w:t> </w:t>
      </w:r>
      <w:r>
        <w:rPr/>
        <w:t>$11,984,809)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March</w:t>
      </w:r>
      <w:r>
        <w:rPr>
          <w:spacing w:val="51"/>
        </w:rPr>
        <w:t> </w:t>
      </w:r>
      <w:r>
        <w:rPr/>
        <w:t>31,</w:t>
      </w:r>
      <w:r>
        <w:rPr>
          <w:spacing w:val="51"/>
        </w:rPr>
        <w:t> </w:t>
      </w:r>
      <w:r>
        <w:rPr/>
        <w:t>2023</w:t>
      </w:r>
      <w:r>
        <w:rPr>
          <w:spacing w:val="50"/>
        </w:rPr>
        <w:t> </w:t>
      </w:r>
      <w:r>
        <w:rPr/>
        <w:t>had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net</w:t>
      </w:r>
      <w:r>
        <w:rPr>
          <w:spacing w:val="52"/>
        </w:rPr>
        <w:t> </w:t>
      </w:r>
      <w:r>
        <w:rPr/>
        <w:t>loss</w:t>
      </w:r>
      <w:r>
        <w:rPr>
          <w:spacing w:val="49"/>
        </w:rPr>
        <w:t> </w:t>
      </w:r>
      <w:r>
        <w:rPr/>
        <w:t>of</w:t>
      </w:r>
      <w:r>
        <w:rPr>
          <w:spacing w:val="53"/>
        </w:rPr>
        <w:t> </w:t>
      </w:r>
      <w:r>
        <w:rPr/>
        <w:t>$21,384,656</w:t>
      </w:r>
      <w:r>
        <w:rPr>
          <w:spacing w:val="48"/>
        </w:rPr>
        <w:t> </w:t>
      </w:r>
      <w:r>
        <w:rPr/>
        <w:t>(March</w:t>
      </w:r>
      <w:r>
        <w:rPr>
          <w:spacing w:val="50"/>
        </w:rPr>
        <w:t> </w:t>
      </w:r>
      <w:r>
        <w:rPr/>
        <w:t>31,2022</w:t>
      </w:r>
    </w:p>
    <w:p>
      <w:pPr>
        <w:pStyle w:val="BodyText"/>
        <w:ind w:left="116" w:right="134"/>
        <w:jc w:val="both"/>
      </w:pPr>
      <w:r>
        <w:rPr/>
        <w:t>$54,802,666) excluding share based compensation of $274,502 (March 31, 2022 - $10,964,662) and</w:t>
      </w:r>
      <w:r>
        <w:rPr>
          <w:spacing w:val="1"/>
        </w:rPr>
        <w:t> </w:t>
      </w:r>
      <w:r>
        <w:rPr/>
        <w:t>impairment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nil</w:t>
      </w:r>
      <w:r>
        <w:rPr>
          <w:spacing w:val="1"/>
        </w:rPr>
        <w:t> </w:t>
      </w:r>
      <w:r>
        <w:rPr/>
        <w:t>(March</w:t>
      </w:r>
      <w:r>
        <w:rPr>
          <w:spacing w:val="-6"/>
        </w:rPr>
        <w:t> </w:t>
      </w:r>
      <w:r>
        <w:rPr/>
        <w:t>31,</w:t>
      </w:r>
      <w:r>
        <w:rPr>
          <w:spacing w:val="-2"/>
        </w:rPr>
        <w:t> </w:t>
      </w:r>
      <w:r>
        <w:rPr/>
        <w:t>2022</w:t>
      </w:r>
      <w:r>
        <w:rPr>
          <w:spacing w:val="-7"/>
        </w:rPr>
        <w:t> </w:t>
      </w:r>
      <w:r>
        <w:rPr/>
        <w:t>-</w:t>
      </w:r>
      <w:r>
        <w:rPr>
          <w:spacing w:val="-4"/>
        </w:rPr>
        <w:t> </w:t>
      </w:r>
      <w:r>
        <w:rPr/>
        <w:t>$</w:t>
      </w:r>
      <w:r>
        <w:rPr>
          <w:spacing w:val="-2"/>
        </w:rPr>
        <w:t> </w:t>
      </w:r>
      <w:r>
        <w:rPr/>
        <w:t>19,201,131).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revenue</w:t>
      </w:r>
      <w:r>
        <w:rPr>
          <w:spacing w:val="-4"/>
        </w:rPr>
        <w:t> </w:t>
      </w:r>
      <w:r>
        <w:rPr/>
        <w:t>growth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$1,315,082</w:t>
      </w:r>
      <w:r>
        <w:rPr>
          <w:spacing w:val="-5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59"/>
        </w:rPr>
        <w:t> </w:t>
      </w:r>
      <w:r>
        <w:rPr/>
        <w:t>same period of the prior year was driven by increasing sales on the e-commerce sites along with the</w:t>
      </w:r>
      <w:r>
        <w:rPr>
          <w:spacing w:val="1"/>
        </w:rPr>
        <w:t> </w:t>
      </w:r>
      <w:r>
        <w:rPr/>
        <w:t>strategic acquisitions that were able to service customer needs by providing food and plant deliveries</w:t>
      </w:r>
      <w:r>
        <w:rPr>
          <w:spacing w:val="1"/>
        </w:rPr>
        <w:t> </w:t>
      </w:r>
      <w:r>
        <w:rPr/>
        <w:t>to homes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businesses.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4"/>
        <w:jc w:val="both"/>
      </w:pPr>
      <w:r>
        <w:rPr/>
        <w:t>In</w:t>
      </w:r>
      <w:r>
        <w:rPr>
          <w:spacing w:val="-5"/>
        </w:rPr>
        <w:t> </w:t>
      </w:r>
      <w:r>
        <w:rPr/>
        <w:t>assessing</w:t>
      </w:r>
      <w:r>
        <w:rPr>
          <w:spacing w:val="-6"/>
        </w:rPr>
        <w:t> </w:t>
      </w:r>
      <w:r>
        <w:rPr/>
        <w:t>whether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going</w:t>
      </w:r>
      <w:r>
        <w:rPr>
          <w:spacing w:val="-6"/>
        </w:rPr>
        <w:t> </w:t>
      </w:r>
      <w:r>
        <w:rPr/>
        <w:t>concern</w:t>
      </w:r>
      <w:r>
        <w:rPr>
          <w:spacing w:val="-6"/>
        </w:rPr>
        <w:t> </w:t>
      </w:r>
      <w:r>
        <w:rPr/>
        <w:t>assumption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appropriate,</w:t>
      </w:r>
      <w:r>
        <w:rPr>
          <w:spacing w:val="-6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takes</w:t>
      </w:r>
      <w:r>
        <w:rPr>
          <w:spacing w:val="-7"/>
        </w:rPr>
        <w:t> </w:t>
      </w:r>
      <w:r>
        <w:rPr/>
        <w:t>into</w:t>
      </w:r>
      <w:r>
        <w:rPr>
          <w:spacing w:val="-4"/>
        </w:rPr>
        <w:t> </w:t>
      </w:r>
      <w:r>
        <w:rPr/>
        <w:t>account</w:t>
      </w:r>
      <w:r>
        <w:rPr>
          <w:spacing w:val="-7"/>
        </w:rPr>
        <w:t> </w:t>
      </w:r>
      <w:r>
        <w:rPr/>
        <w:t>all</w:t>
      </w:r>
      <w:r>
        <w:rPr>
          <w:spacing w:val="-59"/>
        </w:rPr>
        <w:t> </w:t>
      </w:r>
      <w:r>
        <w:rPr/>
        <w:t>available information about the future, which is at least, but not limited to, twelve months from the end</w:t>
      </w:r>
      <w:r>
        <w:rPr>
          <w:spacing w:val="1"/>
        </w:rPr>
        <w:t> </w:t>
      </w:r>
      <w:r>
        <w:rPr/>
        <w:t>of the reporting period. Management is aware, in making its assessment, of uncertainties related to</w:t>
      </w:r>
      <w:r>
        <w:rPr>
          <w:spacing w:val="1"/>
        </w:rPr>
        <w:t> </w:t>
      </w:r>
      <w:r>
        <w:rPr/>
        <w:t>events or conditions that may cast significant doubt upon its ability to continue as a going concern that</w:t>
      </w:r>
      <w:r>
        <w:rPr>
          <w:spacing w:val="-59"/>
        </w:rPr>
        <w:t> </w:t>
      </w:r>
      <w:r>
        <w:rPr/>
        <w:t>these</w:t>
      </w:r>
      <w:r>
        <w:rPr>
          <w:spacing w:val="-9"/>
        </w:rPr>
        <w:t> </w:t>
      </w:r>
      <w:r>
        <w:rPr/>
        <w:t>uncertainties</w:t>
      </w:r>
      <w:r>
        <w:rPr>
          <w:spacing w:val="-7"/>
        </w:rPr>
        <w:t> </w:t>
      </w:r>
      <w:r>
        <w:rPr/>
        <w:t>are</w:t>
      </w:r>
      <w:r>
        <w:rPr>
          <w:spacing w:val="-11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and,</w:t>
      </w:r>
      <w:r>
        <w:rPr>
          <w:spacing w:val="-12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unable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realize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assets</w:t>
      </w:r>
      <w:r>
        <w:rPr>
          <w:spacing w:val="-3"/>
        </w:rPr>
        <w:t> </w:t>
      </w:r>
      <w:r>
        <w:rPr/>
        <w:t>and</w:t>
      </w:r>
      <w:r>
        <w:rPr>
          <w:spacing w:val="-10"/>
        </w:rPr>
        <w:t> </w:t>
      </w:r>
      <w:r>
        <w:rPr/>
        <w:t>discharge</w:t>
      </w:r>
      <w:r>
        <w:rPr>
          <w:spacing w:val="-59"/>
        </w:rPr>
        <w:t> </w:t>
      </w:r>
      <w:r>
        <w:rPr/>
        <w:t>its liabilities in the normal</w:t>
      </w:r>
      <w:r>
        <w:rPr>
          <w:spacing w:val="-3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business.</w:t>
      </w:r>
    </w:p>
    <w:p>
      <w:pPr>
        <w:pStyle w:val="BodyText"/>
        <w:rPr>
          <w:sz w:val="21"/>
        </w:rPr>
      </w:pPr>
    </w:p>
    <w:p>
      <w:pPr>
        <w:pStyle w:val="BodyText"/>
        <w:ind w:left="116" w:right="135"/>
        <w:jc w:val="both"/>
      </w:pPr>
      <w:r>
        <w:rPr/>
        <w:t>Accordingly, the consolidated financial statements do not give effect to adjustments that would be</w:t>
      </w:r>
      <w:r>
        <w:rPr>
          <w:spacing w:val="1"/>
        </w:rPr>
        <w:t> </w:t>
      </w:r>
      <w:r>
        <w:rPr/>
        <w:t>necessary, should the Company be unable to continue as a going concern and therefore to realize its</w:t>
      </w:r>
      <w:r>
        <w:rPr>
          <w:spacing w:val="1"/>
        </w:rPr>
        <w:t> </w:t>
      </w:r>
      <w:r>
        <w:rPr/>
        <w:t>assets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discharge</w:t>
      </w:r>
      <w:r>
        <w:rPr>
          <w:spacing w:val="-7"/>
        </w:rPr>
        <w:t> </w:t>
      </w:r>
      <w:r>
        <w:rPr/>
        <w:t>its</w:t>
      </w:r>
      <w:r>
        <w:rPr>
          <w:spacing w:val="-5"/>
        </w:rPr>
        <w:t> </w:t>
      </w:r>
      <w:r>
        <w:rPr/>
        <w:t>liabilities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commitments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other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normal</w:t>
      </w:r>
      <w:r>
        <w:rPr>
          <w:spacing w:val="-6"/>
        </w:rPr>
        <w:t> </w:t>
      </w:r>
      <w:r>
        <w:rPr/>
        <w:t>course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at</w:t>
      </w:r>
      <w:r>
        <w:rPr>
          <w:spacing w:val="-59"/>
        </w:rPr>
        <w:t> </w:t>
      </w:r>
      <w:r>
        <w:rPr/>
        <w:t>amounts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accompanying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statements.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adjustments 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material.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9392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4"/>
      </w:pPr>
      <w:r>
        <w:rPr/>
        <w:t>SUMMARY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RESULTS</w:t>
      </w:r>
    </w:p>
    <w:p>
      <w:pPr>
        <w:pStyle w:val="BodyText"/>
        <w:spacing w:before="6"/>
        <w:rPr>
          <w:rFonts w:ascii="Arial"/>
          <w:b/>
          <w:sz w:val="21"/>
        </w:rPr>
      </w:pPr>
    </w:p>
    <w:tbl>
      <w:tblPr>
        <w:tblW w:w="0" w:type="auto"/>
        <w:jc w:val="left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1343"/>
        <w:gridCol w:w="1342"/>
        <w:gridCol w:w="1343"/>
        <w:gridCol w:w="1346"/>
        <w:gridCol w:w="1400"/>
      </w:tblGrid>
      <w:tr>
        <w:trPr>
          <w:trHeight w:val="249" w:hRule="atLeast"/>
        </w:trPr>
        <w:tc>
          <w:tcPr>
            <w:tcW w:w="28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line="229" w:lineRule="exact"/>
              <w:ind w:left="321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  <w:tc>
          <w:tcPr>
            <w:tcW w:w="1342" w:type="dxa"/>
          </w:tcPr>
          <w:p>
            <w:pPr>
              <w:pStyle w:val="TableParagraph"/>
              <w:spacing w:line="229" w:lineRule="exact"/>
              <w:ind w:left="313"/>
              <w:rPr>
                <w:sz w:val="22"/>
              </w:rPr>
            </w:pPr>
            <w:r>
              <w:rPr>
                <w:sz w:val="22"/>
              </w:rPr>
              <w:t>31-Dec</w:t>
            </w:r>
          </w:p>
        </w:tc>
        <w:tc>
          <w:tcPr>
            <w:tcW w:w="1343" w:type="dxa"/>
          </w:tcPr>
          <w:p>
            <w:pPr>
              <w:pStyle w:val="TableParagraph"/>
              <w:spacing w:line="229" w:lineRule="exact"/>
              <w:ind w:left="313"/>
              <w:rPr>
                <w:sz w:val="22"/>
              </w:rPr>
            </w:pPr>
            <w:r>
              <w:rPr>
                <w:sz w:val="22"/>
              </w:rPr>
              <w:t>30-Sep</w:t>
            </w:r>
          </w:p>
        </w:tc>
        <w:tc>
          <w:tcPr>
            <w:tcW w:w="1346" w:type="dxa"/>
          </w:tcPr>
          <w:p>
            <w:pPr>
              <w:pStyle w:val="TableParagraph"/>
              <w:spacing w:line="229" w:lineRule="exact"/>
              <w:ind w:left="333"/>
              <w:rPr>
                <w:sz w:val="22"/>
              </w:rPr>
            </w:pPr>
            <w:r>
              <w:rPr>
                <w:sz w:val="22"/>
              </w:rPr>
              <w:t>30-Jun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left="348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</w:tr>
      <w:tr>
        <w:trPr>
          <w:trHeight w:val="247" w:hRule="atLeast"/>
        </w:trPr>
        <w:tc>
          <w:tcPr>
            <w:tcW w:w="28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425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3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423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423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424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4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452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</w:tr>
      <w:tr>
        <w:trPr>
          <w:trHeight w:val="477" w:hRule="atLeast"/>
        </w:trPr>
        <w:tc>
          <w:tcPr>
            <w:tcW w:w="283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left="200"/>
              <w:rPr>
                <w:sz w:val="22"/>
              </w:rPr>
            </w:pPr>
            <w:r>
              <w:rPr>
                <w:sz w:val="22"/>
              </w:rPr>
              <w:t>Revenue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2,009,769</w:t>
            </w:r>
          </w:p>
        </w:tc>
        <w:tc>
          <w:tcPr>
            <w:tcW w:w="13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2,420,543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3,853,855</w:t>
            </w:r>
          </w:p>
        </w:tc>
        <w:tc>
          <w:tcPr>
            <w:tcW w:w="13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5,015,724</w:t>
            </w:r>
          </w:p>
        </w:tc>
        <w:tc>
          <w:tcPr>
            <w:tcW w:w="14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37" w:lineRule="exact" w:before="1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4,354,316</w:t>
            </w:r>
          </w:p>
        </w:tc>
      </w:tr>
      <w:tr>
        <w:trPr>
          <w:trHeight w:val="277" w:hRule="atLeast"/>
        </w:trPr>
        <w:tc>
          <w:tcPr>
            <w:tcW w:w="2833" w:type="dxa"/>
          </w:tcPr>
          <w:p>
            <w:pPr>
              <w:pStyle w:val="TableParagraph"/>
              <w:spacing w:line="250" w:lineRule="exact"/>
              <w:ind w:left="200"/>
              <w:rPr>
                <w:sz w:val="22"/>
              </w:rPr>
            </w:pPr>
            <w:r>
              <w:rPr>
                <w:sz w:val="22"/>
              </w:rPr>
              <w:t>Cost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sales</w:t>
            </w:r>
          </w:p>
        </w:tc>
        <w:tc>
          <w:tcPr>
            <w:tcW w:w="1343" w:type="dxa"/>
          </w:tcPr>
          <w:p>
            <w:pPr>
              <w:pStyle w:val="TableParagraph"/>
              <w:spacing w:line="250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(1,233,935)</w:t>
            </w:r>
          </w:p>
        </w:tc>
        <w:tc>
          <w:tcPr>
            <w:tcW w:w="1342" w:type="dxa"/>
          </w:tcPr>
          <w:p>
            <w:pPr>
              <w:pStyle w:val="TableParagraph"/>
              <w:spacing w:line="250" w:lineRule="exact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(1,435,076)</w:t>
            </w:r>
          </w:p>
        </w:tc>
        <w:tc>
          <w:tcPr>
            <w:tcW w:w="1343" w:type="dxa"/>
          </w:tcPr>
          <w:p>
            <w:pPr>
              <w:pStyle w:val="TableParagraph"/>
              <w:spacing w:line="250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(2,323,673)</w:t>
            </w:r>
          </w:p>
        </w:tc>
        <w:tc>
          <w:tcPr>
            <w:tcW w:w="1346" w:type="dxa"/>
          </w:tcPr>
          <w:p>
            <w:pPr>
              <w:pStyle w:val="TableParagraph"/>
              <w:spacing w:line="250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(3,218,440)</w:t>
            </w:r>
          </w:p>
        </w:tc>
        <w:tc>
          <w:tcPr>
            <w:tcW w:w="1400" w:type="dxa"/>
          </w:tcPr>
          <w:p>
            <w:pPr>
              <w:pStyle w:val="TableParagraph"/>
              <w:spacing w:line="250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(3,820,041)</w:t>
            </w:r>
          </w:p>
        </w:tc>
      </w:tr>
      <w:tr>
        <w:trPr>
          <w:trHeight w:val="343" w:hRule="atLeast"/>
        </w:trPr>
        <w:tc>
          <w:tcPr>
            <w:tcW w:w="2833" w:type="dxa"/>
          </w:tcPr>
          <w:p>
            <w:pPr>
              <w:pStyle w:val="TableParagraph"/>
              <w:spacing w:before="20"/>
              <w:ind w:left="200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Loss</w:t>
            </w:r>
          </w:p>
        </w:tc>
        <w:tc>
          <w:tcPr>
            <w:tcW w:w="1343" w:type="dxa"/>
          </w:tcPr>
          <w:p>
            <w:pPr>
              <w:pStyle w:val="TableParagraph"/>
              <w:spacing w:before="20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(7,923,852)</w:t>
            </w:r>
          </w:p>
        </w:tc>
        <w:tc>
          <w:tcPr>
            <w:tcW w:w="1342" w:type="dxa"/>
          </w:tcPr>
          <w:p>
            <w:pPr>
              <w:pStyle w:val="TableParagraph"/>
              <w:spacing w:before="20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(4,496,585)</w:t>
            </w:r>
          </w:p>
        </w:tc>
        <w:tc>
          <w:tcPr>
            <w:tcW w:w="1343" w:type="dxa"/>
          </w:tcPr>
          <w:p>
            <w:pPr>
              <w:pStyle w:val="TableParagraph"/>
              <w:spacing w:before="20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(3,753,802)</w:t>
            </w:r>
          </w:p>
        </w:tc>
        <w:tc>
          <w:tcPr>
            <w:tcW w:w="1346" w:type="dxa"/>
          </w:tcPr>
          <w:p>
            <w:pPr>
              <w:pStyle w:val="TableParagraph"/>
              <w:spacing w:before="20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(5,210,417)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"/>
              <w:ind w:right="114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(28,624,557)</w:t>
            </w:r>
          </w:p>
        </w:tc>
      </w:tr>
      <w:tr>
        <w:trPr>
          <w:trHeight w:val="613" w:hRule="atLeast"/>
        </w:trPr>
        <w:tc>
          <w:tcPr>
            <w:tcW w:w="2833" w:type="dxa"/>
          </w:tcPr>
          <w:p>
            <w:pPr>
              <w:pStyle w:val="TableParagraph"/>
              <w:spacing w:before="63"/>
              <w:ind w:left="200" w:right="122"/>
              <w:rPr>
                <w:sz w:val="22"/>
              </w:rPr>
            </w:pPr>
            <w:r>
              <w:rPr>
                <w:sz w:val="22"/>
              </w:rPr>
              <w:t>Basic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diluted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share</w:t>
            </w:r>
          </w:p>
        </w:tc>
        <w:tc>
          <w:tcPr>
            <w:tcW w:w="1343" w:type="dxa"/>
          </w:tcPr>
          <w:p>
            <w:pPr>
              <w:pStyle w:val="TableParagraph"/>
              <w:spacing w:before="188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(0.63)</w:t>
            </w:r>
          </w:p>
        </w:tc>
        <w:tc>
          <w:tcPr>
            <w:tcW w:w="1342" w:type="dxa"/>
          </w:tcPr>
          <w:p>
            <w:pPr>
              <w:pStyle w:val="TableParagraph"/>
              <w:spacing w:before="188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(3.57)</w:t>
            </w:r>
          </w:p>
        </w:tc>
        <w:tc>
          <w:tcPr>
            <w:tcW w:w="1343" w:type="dxa"/>
          </w:tcPr>
          <w:p>
            <w:pPr>
              <w:pStyle w:val="TableParagraph"/>
              <w:spacing w:before="18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(2.98)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8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(4.14)</w:t>
            </w:r>
          </w:p>
        </w:tc>
        <w:tc>
          <w:tcPr>
            <w:tcW w:w="1400" w:type="dxa"/>
          </w:tcPr>
          <w:p>
            <w:pPr>
              <w:pStyle w:val="TableParagraph"/>
              <w:spacing w:before="188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(22.75)</w:t>
            </w:r>
          </w:p>
        </w:tc>
      </w:tr>
      <w:tr>
        <w:trPr>
          <w:trHeight w:val="295" w:hRule="atLeast"/>
        </w:trPr>
        <w:tc>
          <w:tcPr>
            <w:tcW w:w="2833" w:type="dxa"/>
          </w:tcPr>
          <w:p>
            <w:pPr>
              <w:pStyle w:val="TableParagraph"/>
              <w:spacing w:line="237" w:lineRule="exact" w:before="38"/>
              <w:ind w:left="20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Assets</w:t>
            </w:r>
          </w:p>
        </w:tc>
        <w:tc>
          <w:tcPr>
            <w:tcW w:w="1343" w:type="dxa"/>
          </w:tcPr>
          <w:p>
            <w:pPr>
              <w:pStyle w:val="TableParagraph"/>
              <w:spacing w:line="237" w:lineRule="exact" w:before="3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7,554,463</w:t>
            </w:r>
          </w:p>
        </w:tc>
        <w:tc>
          <w:tcPr>
            <w:tcW w:w="1342" w:type="dxa"/>
          </w:tcPr>
          <w:p>
            <w:pPr>
              <w:pStyle w:val="TableParagraph"/>
              <w:spacing w:line="237" w:lineRule="exact" w:before="38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10,696,207</w:t>
            </w:r>
          </w:p>
        </w:tc>
        <w:tc>
          <w:tcPr>
            <w:tcW w:w="1343" w:type="dxa"/>
          </w:tcPr>
          <w:p>
            <w:pPr>
              <w:pStyle w:val="TableParagraph"/>
              <w:spacing w:line="237" w:lineRule="exact" w:before="38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11,608,258</w:t>
            </w:r>
          </w:p>
        </w:tc>
        <w:tc>
          <w:tcPr>
            <w:tcW w:w="1346" w:type="dxa"/>
          </w:tcPr>
          <w:p>
            <w:pPr>
              <w:pStyle w:val="TableParagraph"/>
              <w:spacing w:line="237" w:lineRule="exact" w:before="38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11,656,717</w:t>
            </w:r>
          </w:p>
        </w:tc>
        <w:tc>
          <w:tcPr>
            <w:tcW w:w="1400" w:type="dxa"/>
          </w:tcPr>
          <w:p>
            <w:pPr>
              <w:pStyle w:val="TableParagraph"/>
              <w:spacing w:line="237" w:lineRule="exact" w:before="38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12,195,192</w:t>
            </w:r>
          </w:p>
        </w:tc>
      </w:tr>
      <w:tr>
        <w:trPr>
          <w:trHeight w:val="250" w:hRule="atLeast"/>
        </w:trPr>
        <w:tc>
          <w:tcPr>
            <w:tcW w:w="2833" w:type="dxa"/>
          </w:tcPr>
          <w:p>
            <w:pPr>
              <w:pStyle w:val="TableParagraph"/>
              <w:spacing w:line="231" w:lineRule="exact"/>
              <w:ind w:left="20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liabilities</w:t>
            </w:r>
          </w:p>
        </w:tc>
        <w:tc>
          <w:tcPr>
            <w:tcW w:w="1343" w:type="dxa"/>
          </w:tcPr>
          <w:p>
            <w:pPr>
              <w:pStyle w:val="TableParagraph"/>
              <w:spacing w:line="231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25,617,388</w:t>
            </w:r>
          </w:p>
        </w:tc>
        <w:tc>
          <w:tcPr>
            <w:tcW w:w="1342" w:type="dxa"/>
          </w:tcPr>
          <w:p>
            <w:pPr>
              <w:pStyle w:val="TableParagraph"/>
              <w:spacing w:line="231" w:lineRule="exact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24,028,839</w:t>
            </w:r>
          </w:p>
        </w:tc>
        <w:tc>
          <w:tcPr>
            <w:tcW w:w="1343" w:type="dxa"/>
          </w:tcPr>
          <w:p>
            <w:pPr>
              <w:pStyle w:val="TableParagraph"/>
              <w:spacing w:line="231" w:lineRule="exact"/>
              <w:ind w:right="114"/>
              <w:jc w:val="right"/>
              <w:rPr>
                <w:sz w:val="22"/>
              </w:rPr>
            </w:pPr>
            <w:r>
              <w:rPr>
                <w:sz w:val="22"/>
              </w:rPr>
              <w:t>20,168,847</w:t>
            </w:r>
          </w:p>
        </w:tc>
        <w:tc>
          <w:tcPr>
            <w:tcW w:w="1346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17,438,676</w:t>
            </w:r>
          </w:p>
        </w:tc>
        <w:tc>
          <w:tcPr>
            <w:tcW w:w="1400" w:type="dxa"/>
          </w:tcPr>
          <w:p>
            <w:pPr>
              <w:pStyle w:val="TableParagraph"/>
              <w:spacing w:line="231" w:lineRule="exact"/>
              <w:ind w:right="113"/>
              <w:jc w:val="right"/>
              <w:rPr>
                <w:sz w:val="22"/>
              </w:rPr>
            </w:pPr>
            <w:r>
              <w:rPr>
                <w:sz w:val="22"/>
              </w:rPr>
              <w:t>13,195,797</w:t>
            </w:r>
          </w:p>
        </w:tc>
      </w:tr>
    </w:tbl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1"/>
        <w:ind w:left="11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RESULTS</w:t>
      </w:r>
      <w:r>
        <w:rPr>
          <w:rFonts w:ascii="Arial"/>
          <w:b/>
          <w:spacing w:val="-13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z w:val="22"/>
        </w:rPr>
        <w:t>OPERATIONS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ind w:left="116"/>
        <w:jc w:val="both"/>
      </w:pPr>
      <w:r>
        <w:rPr>
          <w:u w:val="single"/>
        </w:rPr>
        <w:t>Period</w:t>
      </w:r>
      <w:r>
        <w:rPr>
          <w:spacing w:val="-1"/>
          <w:u w:val="single"/>
        </w:rPr>
        <w:t> </w:t>
      </w:r>
      <w:r>
        <w:rPr>
          <w:u w:val="single"/>
        </w:rPr>
        <w:t>from</w:t>
      </w:r>
      <w:r>
        <w:rPr>
          <w:spacing w:val="-1"/>
          <w:u w:val="single"/>
        </w:rPr>
        <w:t> </w:t>
      </w:r>
      <w:r>
        <w:rPr>
          <w:u w:val="single"/>
        </w:rPr>
        <w:t>April</w:t>
      </w:r>
      <w:r>
        <w:rPr>
          <w:spacing w:val="-1"/>
          <w:u w:val="single"/>
        </w:rPr>
        <w:t> </w:t>
      </w:r>
      <w:r>
        <w:rPr>
          <w:u w:val="single"/>
        </w:rPr>
        <w:t>1,</w:t>
      </w:r>
      <w:r>
        <w:rPr>
          <w:spacing w:val="-1"/>
          <w:u w:val="single"/>
        </w:rPr>
        <w:t> </w:t>
      </w:r>
      <w:r>
        <w:rPr>
          <w:u w:val="single"/>
        </w:rPr>
        <w:t>2022,</w:t>
      </w:r>
      <w:r>
        <w:rPr>
          <w:spacing w:val="-1"/>
          <w:u w:val="single"/>
        </w:rPr>
        <w:t> </w:t>
      </w:r>
      <w:r>
        <w:rPr>
          <w:u w:val="single"/>
        </w:rPr>
        <w:t>to</w:t>
      </w:r>
      <w:r>
        <w:rPr>
          <w:spacing w:val="-2"/>
          <w:u w:val="single"/>
        </w:rPr>
        <w:t> </w:t>
      </w:r>
      <w:r>
        <w:rPr>
          <w:u w:val="single"/>
        </w:rPr>
        <w:t>March</w:t>
      </w:r>
      <w:r>
        <w:rPr>
          <w:spacing w:val="-2"/>
          <w:u w:val="single"/>
        </w:rPr>
        <w:t> </w:t>
      </w:r>
      <w:r>
        <w:rPr>
          <w:u w:val="single"/>
        </w:rPr>
        <w:t>31,</w:t>
      </w:r>
      <w:r>
        <w:rPr>
          <w:spacing w:val="2"/>
          <w:u w:val="single"/>
        </w:rPr>
        <w:t> </w:t>
      </w:r>
      <w:r>
        <w:rPr>
          <w:u w:val="single"/>
        </w:rPr>
        <w:t>2023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2" w:lineRule="exact"/>
        <w:ind w:left="116"/>
        <w:jc w:val="both"/>
      </w:pPr>
      <w:r>
        <w:rPr/>
        <w:t>During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year</w:t>
      </w:r>
      <w:r>
        <w:rPr>
          <w:spacing w:val="32"/>
        </w:rPr>
        <w:t> </w:t>
      </w:r>
      <w:r>
        <w:rPr/>
        <w:t>ended</w:t>
      </w:r>
      <w:r>
        <w:rPr>
          <w:spacing w:val="31"/>
        </w:rPr>
        <w:t> </w:t>
      </w:r>
      <w:r>
        <w:rPr/>
        <w:t>March</w:t>
      </w:r>
      <w:r>
        <w:rPr>
          <w:spacing w:val="33"/>
        </w:rPr>
        <w:t> </w:t>
      </w:r>
      <w:r>
        <w:rPr/>
        <w:t>31,</w:t>
      </w:r>
      <w:r>
        <w:rPr>
          <w:spacing w:val="35"/>
        </w:rPr>
        <w:t> </w:t>
      </w:r>
      <w:r>
        <w:rPr/>
        <w:t>2023,</w:t>
      </w:r>
      <w:r>
        <w:rPr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Company</w:t>
      </w:r>
      <w:r>
        <w:rPr>
          <w:spacing w:val="33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net</w:t>
      </w:r>
      <w:r>
        <w:rPr>
          <w:spacing w:val="35"/>
        </w:rPr>
        <w:t> </w:t>
      </w:r>
      <w:r>
        <w:rPr/>
        <w:t>loss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$</w:t>
      </w:r>
      <w:r>
        <w:rPr>
          <w:sz w:val="20"/>
        </w:rPr>
        <w:t>21,384,656</w:t>
      </w:r>
      <w:r>
        <w:rPr>
          <w:spacing w:val="30"/>
          <w:sz w:val="20"/>
        </w:rPr>
        <w:t> </w:t>
      </w:r>
      <w:r>
        <w:rPr/>
        <w:t>of</w:t>
      </w:r>
      <w:r>
        <w:rPr>
          <w:spacing w:val="34"/>
        </w:rPr>
        <w:t> </w:t>
      </w:r>
      <w:r>
        <w:rPr/>
        <w:t>which</w:t>
      </w:r>
    </w:p>
    <w:p>
      <w:pPr>
        <w:pStyle w:val="BodyText"/>
        <w:ind w:left="116" w:right="135"/>
        <w:jc w:val="both"/>
      </w:pPr>
      <w:r>
        <w:rPr/>
        <w:t>$</w:t>
      </w:r>
      <w:r>
        <w:rPr>
          <w:sz w:val="20"/>
        </w:rPr>
        <w:t>274,502</w:t>
      </w:r>
      <w:r>
        <w:rPr>
          <w:spacing w:val="1"/>
          <w:sz w:val="20"/>
        </w:rPr>
        <w:t> </w:t>
      </w:r>
      <w:r>
        <w:rPr/>
        <w:t>was the result of share-based compensation and a loss per share of $ </w:t>
      </w:r>
      <w:r>
        <w:rPr>
          <w:sz w:val="20"/>
        </w:rPr>
        <w:t>16.90</w:t>
      </w:r>
      <w:r>
        <w:rPr/>
        <w:t>. The Company</w:t>
      </w:r>
      <w:r>
        <w:rPr>
          <w:spacing w:val="1"/>
        </w:rPr>
        <w:t> </w:t>
      </w:r>
      <w:r>
        <w:rPr/>
        <w:t>incurred $</w:t>
      </w:r>
      <w:r>
        <w:rPr>
          <w:sz w:val="20"/>
        </w:rPr>
        <w:t>536,140</w:t>
      </w:r>
      <w:r>
        <w:rPr>
          <w:spacing w:val="1"/>
          <w:sz w:val="20"/>
        </w:rPr>
        <w:t> </w:t>
      </w:r>
      <w:r>
        <w:rPr/>
        <w:t>in accounting and audit fees in the normal course of operations, $</w:t>
      </w:r>
      <w:r>
        <w:rPr>
          <w:sz w:val="20"/>
        </w:rPr>
        <w:t>2,795,328 </w:t>
      </w:r>
      <w:r>
        <w:rPr/>
        <w:t>in</w:t>
      </w:r>
      <w:r>
        <w:rPr>
          <w:spacing w:val="1"/>
        </w:rPr>
        <w:t> </w:t>
      </w:r>
      <w:r>
        <w:rPr/>
        <w:t>advertising and promotion, $</w:t>
      </w:r>
      <w:r>
        <w:rPr>
          <w:sz w:val="20"/>
        </w:rPr>
        <w:t>3,579,857 </w:t>
      </w:r>
      <w:r>
        <w:rPr/>
        <w:t>in amortization and depreciation, $</w:t>
      </w:r>
      <w:r>
        <w:rPr>
          <w:sz w:val="20"/>
        </w:rPr>
        <w:t>3,780,924 </w:t>
      </w:r>
      <w:r>
        <w:rPr/>
        <w:t>in consulting and</w:t>
      </w:r>
      <w:r>
        <w:rPr>
          <w:spacing w:val="1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fees,</w:t>
      </w:r>
      <w:r>
        <w:rPr>
          <w:spacing w:val="-3"/>
        </w:rPr>
        <w:t> </w:t>
      </w:r>
      <w:r>
        <w:rPr/>
        <w:t>$</w:t>
      </w:r>
      <w:r>
        <w:rPr>
          <w:sz w:val="20"/>
        </w:rPr>
        <w:t>5,613,914</w:t>
      </w:r>
      <w:r>
        <w:rPr>
          <w:spacing w:val="-1"/>
          <w:sz w:val="20"/>
        </w:rPr>
        <w:t> </w:t>
      </w:r>
      <w:r>
        <w:rPr/>
        <w:t>in</w:t>
      </w:r>
      <w:r>
        <w:rPr>
          <w:spacing w:val="-3"/>
        </w:rPr>
        <w:t> </w:t>
      </w:r>
      <w:r>
        <w:rPr/>
        <w:t>general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expenses,</w:t>
      </w:r>
      <w:r>
        <w:rPr>
          <w:spacing w:val="-3"/>
        </w:rPr>
        <w:t> </w:t>
      </w:r>
      <w:r>
        <w:rPr/>
        <w:t>$</w:t>
      </w:r>
      <w:r>
        <w:rPr>
          <w:sz w:val="20"/>
        </w:rPr>
        <w:t>348,619</w:t>
      </w:r>
      <w:r>
        <w:rPr>
          <w:spacing w:val="4"/>
          <w:sz w:val="20"/>
        </w:rPr>
        <w:t> </w:t>
      </w:r>
      <w:r>
        <w:rPr/>
        <w:t>in</w:t>
      </w:r>
      <w:r>
        <w:rPr>
          <w:spacing w:val="-2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expense,</w:t>
      </w:r>
    </w:p>
    <w:p>
      <w:pPr>
        <w:spacing w:line="253" w:lineRule="exact" w:before="0"/>
        <w:ind w:left="116" w:right="0" w:firstLine="0"/>
        <w:jc w:val="both"/>
        <w:rPr>
          <w:sz w:val="22"/>
        </w:rPr>
      </w:pPr>
      <w:r>
        <w:rPr>
          <w:sz w:val="22"/>
        </w:rPr>
        <w:t>$</w:t>
      </w:r>
      <w:r>
        <w:rPr>
          <w:sz w:val="20"/>
        </w:rPr>
        <w:t>1,299,072</w:t>
      </w:r>
      <w:r>
        <w:rPr>
          <w:spacing w:val="30"/>
          <w:sz w:val="20"/>
        </w:rPr>
        <w:t> </w:t>
      </w:r>
      <w:r>
        <w:rPr>
          <w:sz w:val="22"/>
        </w:rPr>
        <w:t>in</w:t>
      </w:r>
      <w:r>
        <w:rPr>
          <w:spacing w:val="38"/>
          <w:sz w:val="22"/>
        </w:rPr>
        <w:t> </w:t>
      </w:r>
      <w:r>
        <w:rPr>
          <w:sz w:val="22"/>
        </w:rPr>
        <w:t>legal</w:t>
      </w:r>
      <w:r>
        <w:rPr>
          <w:spacing w:val="33"/>
          <w:sz w:val="22"/>
        </w:rPr>
        <w:t> </w:t>
      </w:r>
      <w:r>
        <w:rPr>
          <w:sz w:val="22"/>
        </w:rPr>
        <w:t>fees,</w:t>
      </w:r>
      <w:r>
        <w:rPr>
          <w:spacing w:val="33"/>
          <w:sz w:val="22"/>
        </w:rPr>
        <w:t> </w:t>
      </w:r>
      <w:r>
        <w:rPr>
          <w:sz w:val="22"/>
        </w:rPr>
        <w:t>$</w:t>
      </w:r>
      <w:r>
        <w:rPr>
          <w:sz w:val="20"/>
        </w:rPr>
        <w:t>5,192,144</w:t>
      </w:r>
      <w:r>
        <w:rPr>
          <w:spacing w:val="32"/>
          <w:sz w:val="20"/>
        </w:rPr>
        <w:t> </w:t>
      </w:r>
      <w:r>
        <w:rPr>
          <w:sz w:val="22"/>
        </w:rPr>
        <w:t>in</w:t>
      </w:r>
      <w:r>
        <w:rPr>
          <w:spacing w:val="35"/>
          <w:sz w:val="22"/>
        </w:rPr>
        <w:t> </w:t>
      </w:r>
      <w:r>
        <w:rPr>
          <w:sz w:val="22"/>
        </w:rPr>
        <w:t>salaries</w:t>
      </w:r>
      <w:r>
        <w:rPr>
          <w:spacing w:val="35"/>
          <w:sz w:val="22"/>
        </w:rPr>
        <w:t> </w:t>
      </w:r>
      <w:r>
        <w:rPr>
          <w:sz w:val="22"/>
        </w:rPr>
        <w:t>expense,</w:t>
      </w:r>
      <w:r>
        <w:rPr>
          <w:spacing w:val="35"/>
          <w:sz w:val="22"/>
        </w:rPr>
        <w:t> </w:t>
      </w:r>
      <w:r>
        <w:rPr>
          <w:sz w:val="22"/>
        </w:rPr>
        <w:t>$</w:t>
      </w:r>
      <w:r>
        <w:rPr>
          <w:sz w:val="20"/>
        </w:rPr>
        <w:t>139,142</w:t>
      </w:r>
      <w:r>
        <w:rPr>
          <w:spacing w:val="41"/>
          <w:sz w:val="20"/>
        </w:rPr>
        <w:t> </w:t>
      </w:r>
      <w:r>
        <w:rPr>
          <w:sz w:val="22"/>
        </w:rPr>
        <w:t>in</w:t>
      </w:r>
      <w:r>
        <w:rPr>
          <w:spacing w:val="35"/>
          <w:sz w:val="22"/>
        </w:rPr>
        <w:t> </w:t>
      </w:r>
      <w:r>
        <w:rPr>
          <w:sz w:val="22"/>
        </w:rPr>
        <w:t>transfer</w:t>
      </w:r>
      <w:r>
        <w:rPr>
          <w:spacing w:val="35"/>
          <w:sz w:val="22"/>
        </w:rPr>
        <w:t> </w:t>
      </w:r>
      <w:r>
        <w:rPr>
          <w:sz w:val="22"/>
        </w:rPr>
        <w:t>agent</w:t>
      </w:r>
      <w:r>
        <w:rPr>
          <w:spacing w:val="35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filing</w:t>
      </w:r>
      <w:r>
        <w:rPr>
          <w:spacing w:val="34"/>
          <w:sz w:val="22"/>
        </w:rPr>
        <w:t> </w:t>
      </w:r>
      <w:r>
        <w:rPr>
          <w:sz w:val="22"/>
        </w:rPr>
        <w:t>fees,</w:t>
      </w:r>
    </w:p>
    <w:p>
      <w:pPr>
        <w:spacing w:line="253" w:lineRule="exact" w:before="0"/>
        <w:ind w:left="116" w:right="0" w:firstLine="0"/>
        <w:jc w:val="both"/>
        <w:rPr>
          <w:sz w:val="22"/>
        </w:rPr>
      </w:pPr>
      <w:r>
        <w:rPr>
          <w:spacing w:val="-1"/>
          <w:sz w:val="22"/>
        </w:rPr>
        <w:t>$</w:t>
      </w:r>
      <w:r>
        <w:rPr>
          <w:spacing w:val="-1"/>
          <w:sz w:val="20"/>
        </w:rPr>
        <w:t>265,689</w:t>
      </w:r>
      <w:r>
        <w:rPr>
          <w:spacing w:val="-8"/>
          <w:sz w:val="20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travel</w:t>
      </w:r>
      <w:r>
        <w:rPr>
          <w:spacing w:val="-13"/>
          <w:sz w:val="22"/>
        </w:rPr>
        <w:t> </w:t>
      </w:r>
      <w:r>
        <w:rPr>
          <w:sz w:val="22"/>
        </w:rPr>
        <w:t>expense,</w:t>
      </w:r>
      <w:r>
        <w:rPr>
          <w:spacing w:val="-13"/>
          <w:sz w:val="22"/>
        </w:rPr>
        <w:t> </w:t>
      </w:r>
      <w:r>
        <w:rPr>
          <w:sz w:val="22"/>
        </w:rPr>
        <w:t>$</w:t>
      </w:r>
      <w:r>
        <w:rPr>
          <w:sz w:val="20"/>
        </w:rPr>
        <w:t>(248,504)</w:t>
      </w:r>
      <w:r>
        <w:rPr>
          <w:spacing w:val="-5"/>
          <w:sz w:val="20"/>
        </w:rPr>
        <w:t> </w:t>
      </w:r>
      <w:r>
        <w:rPr>
          <w:sz w:val="22"/>
        </w:rPr>
        <w:t>other</w:t>
      </w:r>
      <w:r>
        <w:rPr>
          <w:spacing w:val="-12"/>
          <w:sz w:val="22"/>
        </w:rPr>
        <w:t> </w:t>
      </w:r>
      <w:r>
        <w:rPr>
          <w:sz w:val="22"/>
        </w:rPr>
        <w:t>loss,</w:t>
      </w:r>
      <w:r>
        <w:rPr>
          <w:spacing w:val="-14"/>
          <w:sz w:val="22"/>
        </w:rPr>
        <w:t> </w:t>
      </w:r>
      <w:r>
        <w:rPr>
          <w:sz w:val="22"/>
        </w:rPr>
        <w:t>earned</w:t>
      </w:r>
      <w:r>
        <w:rPr>
          <w:spacing w:val="-13"/>
          <w:sz w:val="22"/>
        </w:rPr>
        <w:t> </w:t>
      </w:r>
      <w:r>
        <w:rPr>
          <w:sz w:val="22"/>
        </w:rPr>
        <w:t>$</w:t>
      </w:r>
      <w:r>
        <w:rPr>
          <w:sz w:val="20"/>
        </w:rPr>
        <w:t>10,376</w:t>
      </w:r>
      <w:r>
        <w:rPr>
          <w:spacing w:val="-7"/>
          <w:sz w:val="20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foreign</w:t>
      </w:r>
      <w:r>
        <w:rPr>
          <w:spacing w:val="-16"/>
          <w:sz w:val="22"/>
        </w:rPr>
        <w:t> </w:t>
      </w:r>
      <w:r>
        <w:rPr>
          <w:sz w:val="22"/>
        </w:rPr>
        <w:t>exchange</w:t>
      </w:r>
      <w:r>
        <w:rPr>
          <w:spacing w:val="-13"/>
          <w:sz w:val="22"/>
        </w:rPr>
        <w:t> </w:t>
      </w:r>
      <w:r>
        <w:rPr>
          <w:sz w:val="22"/>
        </w:rPr>
        <w:t>gain,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incurred</w:t>
      </w:r>
    </w:p>
    <w:p>
      <w:pPr>
        <w:spacing w:before="2"/>
        <w:ind w:left="116" w:right="0" w:firstLine="0"/>
        <w:jc w:val="both"/>
        <w:rPr>
          <w:sz w:val="22"/>
        </w:rPr>
      </w:pPr>
      <w:r>
        <w:rPr>
          <w:sz w:val="22"/>
        </w:rPr>
        <w:t>$</w:t>
      </w:r>
      <w:r>
        <w:rPr>
          <w:sz w:val="20"/>
        </w:rPr>
        <w:t>(780,821)</w:t>
      </w:r>
      <w:r>
        <w:rPr>
          <w:spacing w:val="6"/>
          <w:sz w:val="20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interest</w:t>
      </w:r>
      <w:r>
        <w:rPr>
          <w:spacing w:val="-3"/>
          <w:sz w:val="22"/>
        </w:rPr>
        <w:t> </w:t>
      </w:r>
      <w:r>
        <w:rPr>
          <w:sz w:val="22"/>
        </w:rPr>
        <w:t>expense.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/>
        <w:jc w:val="both"/>
      </w:pPr>
      <w:r>
        <w:rPr/>
        <w:t>During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year</w:t>
      </w:r>
      <w:r>
        <w:rPr>
          <w:spacing w:val="27"/>
        </w:rPr>
        <w:t> </w:t>
      </w:r>
      <w:r>
        <w:rPr/>
        <w:t>ended</w:t>
      </w:r>
      <w:r>
        <w:rPr>
          <w:spacing w:val="23"/>
        </w:rPr>
        <w:t> </w:t>
      </w:r>
      <w:r>
        <w:rPr/>
        <w:t>March</w:t>
      </w:r>
      <w:r>
        <w:rPr>
          <w:spacing w:val="26"/>
        </w:rPr>
        <w:t> </w:t>
      </w:r>
      <w:r>
        <w:rPr/>
        <w:t>31,</w:t>
      </w:r>
      <w:r>
        <w:rPr>
          <w:spacing w:val="27"/>
        </w:rPr>
        <w:t> </w:t>
      </w:r>
      <w:r>
        <w:rPr/>
        <w:t>2022,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Company</w:t>
      </w:r>
      <w:r>
        <w:rPr>
          <w:spacing w:val="25"/>
        </w:rPr>
        <w:t> </w:t>
      </w:r>
      <w:r>
        <w:rPr/>
        <w:t>reported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net</w:t>
      </w:r>
      <w:r>
        <w:rPr>
          <w:spacing w:val="27"/>
        </w:rPr>
        <w:t> </w:t>
      </w:r>
      <w:r>
        <w:rPr/>
        <w:t>loss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$54,802,666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which</w:t>
      </w:r>
    </w:p>
    <w:p>
      <w:pPr>
        <w:pStyle w:val="BodyText"/>
        <w:spacing w:before="1"/>
        <w:ind w:left="116" w:right="136"/>
        <w:jc w:val="both"/>
      </w:pPr>
      <w:r>
        <w:rPr/>
        <w:t>$10,964,662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share-based</w:t>
      </w:r>
      <w:r>
        <w:rPr>
          <w:spacing w:val="-11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loss</w:t>
      </w:r>
      <w:r>
        <w:rPr>
          <w:spacing w:val="-7"/>
        </w:rPr>
        <w:t> </w:t>
      </w:r>
      <w:r>
        <w:rPr/>
        <w:t>per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$8.36.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Company</w:t>
      </w:r>
      <w:r>
        <w:rPr>
          <w:spacing w:val="-59"/>
        </w:rPr>
        <w:t> </w:t>
      </w:r>
      <w:r>
        <w:rPr/>
        <w:t>incurred $374,569 in accounting and audit fees in the normal course of operations, $6,289,840 in</w:t>
      </w:r>
      <w:r>
        <w:rPr>
          <w:spacing w:val="1"/>
        </w:rPr>
        <w:t> </w:t>
      </w:r>
      <w:r>
        <w:rPr/>
        <w:t>advertising and promotion, $1,343,668 in amortization and depreciation, $4,878,889 in consulting and</w:t>
      </w:r>
      <w:r>
        <w:rPr>
          <w:spacing w:val="-59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fees,</w:t>
      </w:r>
      <w:r>
        <w:rPr>
          <w:spacing w:val="1"/>
        </w:rPr>
        <w:t> </w:t>
      </w:r>
      <w:r>
        <w:rPr/>
        <w:t>$1,211,933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expenses,</w:t>
      </w:r>
      <w:r>
        <w:rPr>
          <w:spacing w:val="1"/>
        </w:rPr>
        <w:t> </w:t>
      </w:r>
      <w:r>
        <w:rPr/>
        <w:t>$213,853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>
          <w:spacing w:val="-1"/>
        </w:rPr>
        <w:t>expense,</w:t>
      </w:r>
      <w:r>
        <w:rPr>
          <w:spacing w:val="-12"/>
        </w:rPr>
        <w:t> </w:t>
      </w:r>
      <w:r>
        <w:rPr>
          <w:spacing w:val="-1"/>
        </w:rPr>
        <w:t>$1,294,470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legal</w:t>
      </w:r>
      <w:r>
        <w:rPr>
          <w:spacing w:val="-14"/>
        </w:rPr>
        <w:t> </w:t>
      </w:r>
      <w:r>
        <w:rPr/>
        <w:t>fees,</w:t>
      </w:r>
      <w:r>
        <w:rPr>
          <w:spacing w:val="-14"/>
        </w:rPr>
        <w:t> </w:t>
      </w:r>
      <w:r>
        <w:rPr/>
        <w:t>$4,801,446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salaries</w:t>
      </w:r>
      <w:r>
        <w:rPr>
          <w:spacing w:val="-12"/>
        </w:rPr>
        <w:t> </w:t>
      </w:r>
      <w:r>
        <w:rPr/>
        <w:t>expense,</w:t>
      </w:r>
      <w:r>
        <w:rPr>
          <w:spacing w:val="-11"/>
        </w:rPr>
        <w:t> </w:t>
      </w:r>
      <w:r>
        <w:rPr/>
        <w:t>$196,978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transfer</w:t>
      </w:r>
      <w:r>
        <w:rPr>
          <w:spacing w:val="-12"/>
        </w:rPr>
        <w:t> </w:t>
      </w:r>
      <w:r>
        <w:rPr/>
        <w:t>agent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filing</w:t>
      </w:r>
      <w:r>
        <w:rPr>
          <w:spacing w:val="-59"/>
        </w:rPr>
        <w:t> </w:t>
      </w:r>
      <w:r>
        <w:rPr/>
        <w:t>fees,</w:t>
      </w:r>
      <w:r>
        <w:rPr>
          <w:spacing w:val="-4"/>
        </w:rPr>
        <w:t> </w:t>
      </w:r>
      <w:r>
        <w:rPr/>
        <w:t>$824,460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travel</w:t>
      </w:r>
      <w:r>
        <w:rPr>
          <w:spacing w:val="-7"/>
        </w:rPr>
        <w:t> </w:t>
      </w:r>
      <w:r>
        <w:rPr/>
        <w:t>expense,</w:t>
      </w:r>
      <w:r>
        <w:rPr>
          <w:spacing w:val="-3"/>
        </w:rPr>
        <w:t> </w:t>
      </w:r>
      <w:r>
        <w:rPr/>
        <w:t>$284,033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transaction</w:t>
      </w:r>
      <w:r>
        <w:rPr>
          <w:spacing w:val="-5"/>
        </w:rPr>
        <w:t> </w:t>
      </w:r>
      <w:r>
        <w:rPr/>
        <w:t>cost,</w:t>
      </w:r>
      <w:r>
        <w:rPr>
          <w:spacing w:val="-3"/>
        </w:rPr>
        <w:t> </w:t>
      </w:r>
      <w:r>
        <w:rPr/>
        <w:t>$19,201,131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goodwill,</w:t>
      </w:r>
    </w:p>
    <w:p>
      <w:pPr>
        <w:pStyle w:val="BodyText"/>
        <w:ind w:left="116" w:right="142"/>
        <w:jc w:val="both"/>
      </w:pPr>
      <w:r>
        <w:rPr/>
        <w:t>$1,264,733 other loss,$2,056,765 loss from acquisition of LIV assets, earned $101,307 in foreign</w:t>
      </w:r>
      <w:r>
        <w:rPr>
          <w:spacing w:val="1"/>
        </w:rPr>
        <w:t> </w:t>
      </w:r>
      <w:r>
        <w:rPr/>
        <w:t>exchange gain, and incurred $254,345 in interest expense and earned $127,012 in other income, and</w:t>
      </w:r>
      <w:r>
        <w:rPr>
          <w:spacing w:val="-59"/>
        </w:rPr>
        <w:t> </w:t>
      </w:r>
      <w:r>
        <w:rPr/>
        <w:t>earned</w:t>
      </w:r>
      <w:r>
        <w:rPr>
          <w:spacing w:val="-1"/>
        </w:rPr>
        <w:t> </w:t>
      </w:r>
      <w:r>
        <w:rPr/>
        <w:t>$246,479</w:t>
      </w:r>
      <w:r>
        <w:rPr>
          <w:spacing w:val="-2"/>
        </w:rPr>
        <w:t> </w:t>
      </w:r>
      <w:r>
        <w:rPr/>
        <w:t>fair</w:t>
      </w:r>
      <w:r>
        <w:rPr>
          <w:spacing w:val="-1"/>
        </w:rPr>
        <w:t> </w:t>
      </w:r>
      <w:r>
        <w:rPr/>
        <w:t>value adjustment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contingent</w:t>
      </w:r>
      <w:r>
        <w:rPr>
          <w:spacing w:val="1"/>
        </w:rPr>
        <w:t> </w:t>
      </w:r>
      <w:r>
        <w:rPr/>
        <w:t>consideration.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7"/>
        <w:jc w:val="both"/>
      </w:pPr>
      <w:r>
        <w:rPr/>
        <w:t>Advertising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promotion</w:t>
      </w:r>
      <w:r>
        <w:rPr>
          <w:spacing w:val="-5"/>
        </w:rPr>
        <w:t> </w:t>
      </w:r>
      <w:r>
        <w:rPr/>
        <w:t>decreased</w:t>
      </w:r>
      <w:r>
        <w:rPr>
          <w:spacing w:val="-11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8"/>
        </w:rPr>
        <w:t> </w:t>
      </w:r>
      <w:r>
        <w:rPr/>
        <w:t>period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prior</w:t>
      </w:r>
      <w:r>
        <w:rPr>
          <w:spacing w:val="-8"/>
        </w:rPr>
        <w:t> </w:t>
      </w:r>
      <w:r>
        <w:rPr/>
        <w:t>year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Company</w:t>
      </w:r>
      <w:r>
        <w:rPr>
          <w:spacing w:val="-1"/>
        </w:rPr>
        <w:t> </w:t>
      </w:r>
      <w:r>
        <w:rPr/>
        <w:t>engaged</w:t>
      </w:r>
      <w:r>
        <w:rPr>
          <w:spacing w:val="-2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platforms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promote</w:t>
      </w:r>
      <w:r>
        <w:rPr>
          <w:spacing w:val="-4"/>
        </w:rPr>
        <w:t> </w:t>
      </w:r>
      <w:r>
        <w:rPr/>
        <w:t>the products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Company.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41"/>
        <w:jc w:val="both"/>
      </w:pPr>
      <w:r>
        <w:rPr/>
        <w:t>Management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strategically</w:t>
      </w:r>
      <w:r>
        <w:rPr>
          <w:spacing w:val="-11"/>
        </w:rPr>
        <w:t> </w:t>
      </w:r>
      <w:r>
        <w:rPr/>
        <w:t>investing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brand</w:t>
      </w:r>
      <w:r>
        <w:rPr>
          <w:spacing w:val="-11"/>
        </w:rPr>
        <w:t> </w:t>
      </w:r>
      <w:r>
        <w:rPr/>
        <w:t>awareness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platform</w:t>
      </w:r>
      <w:r>
        <w:rPr>
          <w:spacing w:val="-59"/>
        </w:rPr>
        <w:t> </w:t>
      </w:r>
      <w:r>
        <w:rPr/>
        <w:t>to educate in</w:t>
      </w:r>
      <w:r>
        <w:rPr>
          <w:spacing w:val="-2"/>
        </w:rPr>
        <w:t> </w:t>
      </w:r>
      <w:r>
        <w:rPr/>
        <w:t>an emerging industry.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41"/>
        <w:jc w:val="both"/>
      </w:pPr>
      <w:r>
        <w:rPr/>
        <w:t>Consulting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fees,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salaries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decreased</w:t>
      </w:r>
      <w:r>
        <w:rPr>
          <w:spacing w:val="23"/>
        </w:rPr>
        <w:t> </w:t>
      </w:r>
      <w:r>
        <w:rPr/>
        <w:t>significantly</w:t>
      </w:r>
      <w:r>
        <w:rPr>
          <w:spacing w:val="26"/>
        </w:rPr>
        <w:t> </w:t>
      </w:r>
      <w:r>
        <w:rPr/>
        <w:t>compared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same</w:t>
      </w:r>
      <w:r>
        <w:rPr>
          <w:spacing w:val="24"/>
        </w:rPr>
        <w:t> </w:t>
      </w:r>
      <w:r>
        <w:rPr/>
        <w:t>period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prior</w:t>
      </w:r>
      <w:r>
        <w:rPr>
          <w:spacing w:val="25"/>
        </w:rPr>
        <w:t> </w:t>
      </w:r>
      <w:r>
        <w:rPr/>
        <w:t>year</w:t>
      </w:r>
      <w:r>
        <w:rPr>
          <w:spacing w:val="24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overall</w:t>
      </w:r>
      <w:r>
        <w:rPr>
          <w:spacing w:val="26"/>
        </w:rPr>
        <w:t> </w:t>
      </w:r>
      <w:r>
        <w:rPr/>
        <w:t>organizational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39904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9"/>
        <w:jc w:val="both"/>
      </w:pPr>
      <w:r>
        <w:rPr/>
        <w:t>structure has been growing but utilizing cost cutting. The Company strongly believes that a sufficient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dedicated resources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6"/>
        <w:jc w:val="both"/>
      </w:pPr>
      <w:r>
        <w:rPr/>
        <w:t>Legal fees of $1,299,072 are consistent with the closing of the acquisitions during the relevant periods</w:t>
      </w:r>
      <w:r>
        <w:rPr>
          <w:spacing w:val="-59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advice and</w:t>
      </w:r>
      <w:r>
        <w:rPr>
          <w:spacing w:val="-2"/>
        </w:rPr>
        <w:t> </w:t>
      </w:r>
      <w:r>
        <w:rPr/>
        <w:t>support received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general</w:t>
      </w:r>
      <w:r>
        <w:rPr>
          <w:spacing w:val="-3"/>
        </w:rPr>
        <w:t> </w:t>
      </w:r>
      <w:r>
        <w:rPr/>
        <w:t>matters.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jc w:val="both"/>
      </w:pPr>
      <w:r>
        <w:rPr>
          <w:spacing w:val="-1"/>
        </w:rPr>
        <w:t>SELECTED</w:t>
      </w:r>
      <w:r>
        <w:rPr>
          <w:spacing w:val="-12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INFORMATION</w:t>
      </w:r>
    </w:p>
    <w:p>
      <w:pPr>
        <w:pStyle w:val="BodyText"/>
        <w:spacing w:before="6"/>
        <w:rPr>
          <w:rFonts w:ascii="Arial"/>
          <w:b/>
          <w:sz w:val="21"/>
        </w:r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1"/>
        <w:gridCol w:w="1594"/>
        <w:gridCol w:w="1346"/>
        <w:gridCol w:w="1371"/>
        <w:gridCol w:w="1413"/>
        <w:gridCol w:w="1332"/>
      </w:tblGrid>
      <w:tr>
        <w:trPr>
          <w:trHeight w:val="304" w:hRule="atLeast"/>
        </w:trPr>
        <w:tc>
          <w:tcPr>
            <w:tcW w:w="28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47" w:lineRule="exact"/>
              <w:ind w:left="389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  <w:tc>
          <w:tcPr>
            <w:tcW w:w="1346" w:type="dxa"/>
          </w:tcPr>
          <w:p>
            <w:pPr>
              <w:pStyle w:val="TableParagraph"/>
              <w:spacing w:line="247" w:lineRule="exact"/>
              <w:ind w:left="196"/>
              <w:rPr>
                <w:sz w:val="22"/>
              </w:rPr>
            </w:pPr>
            <w:r>
              <w:rPr>
                <w:sz w:val="22"/>
              </w:rPr>
              <w:t>31-Dec</w:t>
            </w:r>
          </w:p>
        </w:tc>
        <w:tc>
          <w:tcPr>
            <w:tcW w:w="1371" w:type="dxa"/>
          </w:tcPr>
          <w:p>
            <w:pPr>
              <w:pStyle w:val="TableParagraph"/>
              <w:spacing w:line="247" w:lineRule="exact"/>
              <w:ind w:left="185"/>
              <w:rPr>
                <w:sz w:val="22"/>
              </w:rPr>
            </w:pPr>
            <w:r>
              <w:rPr>
                <w:sz w:val="22"/>
              </w:rPr>
              <w:t>30-Sep</w:t>
            </w:r>
          </w:p>
        </w:tc>
        <w:tc>
          <w:tcPr>
            <w:tcW w:w="1413" w:type="dxa"/>
          </w:tcPr>
          <w:p>
            <w:pPr>
              <w:pStyle w:val="TableParagraph"/>
              <w:spacing w:line="247" w:lineRule="exact"/>
              <w:ind w:left="228"/>
              <w:rPr>
                <w:sz w:val="22"/>
              </w:rPr>
            </w:pPr>
            <w:r>
              <w:rPr>
                <w:sz w:val="22"/>
              </w:rPr>
              <w:t>30-Jun</w:t>
            </w:r>
          </w:p>
        </w:tc>
        <w:tc>
          <w:tcPr>
            <w:tcW w:w="1332" w:type="dxa"/>
          </w:tcPr>
          <w:p>
            <w:pPr>
              <w:pStyle w:val="TableParagraph"/>
              <w:spacing w:line="247" w:lineRule="exact"/>
              <w:ind w:left="253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</w:tr>
      <w:tr>
        <w:trPr>
          <w:trHeight w:val="413" w:hRule="atLeast"/>
        </w:trPr>
        <w:tc>
          <w:tcPr>
            <w:tcW w:w="28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492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307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95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319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356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</w:tr>
      <w:tr>
        <w:trPr>
          <w:trHeight w:val="648" w:hRule="atLeast"/>
        </w:trPr>
        <w:tc>
          <w:tcPr>
            <w:tcW w:w="282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z w:val="22"/>
              </w:rPr>
              <w:t>Revenue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2,009,769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2,420,543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216"/>
              <w:rPr>
                <w:sz w:val="22"/>
              </w:rPr>
            </w:pPr>
            <w:r>
              <w:rPr>
                <w:sz w:val="22"/>
              </w:rPr>
              <w:t>3,853,855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249"/>
              <w:rPr>
                <w:sz w:val="22"/>
              </w:rPr>
            </w:pPr>
            <w:r>
              <w:rPr>
                <w:sz w:val="22"/>
              </w:rPr>
              <w:t>5,015,724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4,537,131</w:t>
            </w:r>
          </w:p>
        </w:tc>
      </w:tr>
      <w:tr>
        <w:trPr>
          <w:trHeight w:val="362" w:hRule="atLeast"/>
        </w:trPr>
        <w:tc>
          <w:tcPr>
            <w:tcW w:w="2821" w:type="dxa"/>
          </w:tcPr>
          <w:p>
            <w:pPr>
              <w:pStyle w:val="TableParagraph"/>
              <w:spacing w:before="79"/>
              <w:ind w:left="200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Profit</w:t>
            </w:r>
          </w:p>
        </w:tc>
        <w:tc>
          <w:tcPr>
            <w:tcW w:w="1594" w:type="dxa"/>
          </w:tcPr>
          <w:p>
            <w:pPr>
              <w:pStyle w:val="TableParagraph"/>
              <w:spacing w:before="23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775,834</w:t>
            </w:r>
          </w:p>
        </w:tc>
        <w:tc>
          <w:tcPr>
            <w:tcW w:w="1346" w:type="dxa"/>
          </w:tcPr>
          <w:p>
            <w:pPr>
              <w:pStyle w:val="TableParagraph"/>
              <w:spacing w:before="23"/>
              <w:ind w:right="184"/>
              <w:jc w:val="right"/>
              <w:rPr>
                <w:sz w:val="22"/>
              </w:rPr>
            </w:pPr>
            <w:r>
              <w:rPr>
                <w:sz w:val="22"/>
              </w:rPr>
              <w:t>985,467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216"/>
              <w:rPr>
                <w:sz w:val="22"/>
              </w:rPr>
            </w:pPr>
            <w:r>
              <w:rPr>
                <w:sz w:val="22"/>
              </w:rPr>
              <w:t>1,530,182</w:t>
            </w:r>
          </w:p>
        </w:tc>
        <w:tc>
          <w:tcPr>
            <w:tcW w:w="1413" w:type="dxa"/>
          </w:tcPr>
          <w:p>
            <w:pPr>
              <w:pStyle w:val="TableParagraph"/>
              <w:spacing w:before="23"/>
              <w:ind w:left="249"/>
              <w:rPr>
                <w:sz w:val="22"/>
              </w:rPr>
            </w:pPr>
            <w:r>
              <w:rPr>
                <w:sz w:val="22"/>
              </w:rPr>
              <w:t>1,797,284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697,650</w:t>
            </w:r>
          </w:p>
        </w:tc>
      </w:tr>
      <w:tr>
        <w:trPr>
          <w:trHeight w:val="363" w:hRule="atLeast"/>
        </w:trPr>
        <w:tc>
          <w:tcPr>
            <w:tcW w:w="2821" w:type="dxa"/>
          </w:tcPr>
          <w:p>
            <w:pPr>
              <w:pStyle w:val="TableParagraph"/>
              <w:spacing w:before="79"/>
              <w:ind w:left="200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Profit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594" w:type="dxa"/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39%</w:t>
            </w:r>
          </w:p>
        </w:tc>
        <w:tc>
          <w:tcPr>
            <w:tcW w:w="1346" w:type="dxa"/>
          </w:tcPr>
          <w:p>
            <w:pPr>
              <w:pStyle w:val="TableParagraph"/>
              <w:spacing w:before="23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41%</w:t>
            </w:r>
          </w:p>
        </w:tc>
        <w:tc>
          <w:tcPr>
            <w:tcW w:w="1371" w:type="dxa"/>
          </w:tcPr>
          <w:p>
            <w:pPr>
              <w:pStyle w:val="TableParagraph"/>
              <w:spacing w:before="23"/>
              <w:ind w:left="727"/>
              <w:rPr>
                <w:sz w:val="22"/>
              </w:rPr>
            </w:pPr>
            <w:r>
              <w:rPr>
                <w:sz w:val="22"/>
              </w:rPr>
              <w:t>39%</w:t>
            </w:r>
          </w:p>
        </w:tc>
        <w:tc>
          <w:tcPr>
            <w:tcW w:w="1413" w:type="dxa"/>
          </w:tcPr>
          <w:p>
            <w:pPr>
              <w:pStyle w:val="TableParagraph"/>
              <w:spacing w:before="23"/>
              <w:ind w:left="760"/>
              <w:rPr>
                <w:sz w:val="22"/>
              </w:rPr>
            </w:pPr>
            <w:r>
              <w:rPr>
                <w:sz w:val="22"/>
              </w:rPr>
              <w:t>36%</w:t>
            </w:r>
          </w:p>
        </w:tc>
        <w:tc>
          <w:tcPr>
            <w:tcW w:w="1332" w:type="dxa"/>
          </w:tcPr>
          <w:p>
            <w:pPr>
              <w:pStyle w:val="TableParagraph"/>
              <w:spacing w:before="23"/>
              <w:ind w:right="119"/>
              <w:jc w:val="right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333" w:hRule="atLeast"/>
        </w:trPr>
        <w:tc>
          <w:tcPr>
            <w:tcW w:w="2821" w:type="dxa"/>
          </w:tcPr>
          <w:p>
            <w:pPr>
              <w:pStyle w:val="TableParagraph"/>
              <w:spacing w:line="233" w:lineRule="exact" w:before="80"/>
              <w:ind w:left="200"/>
              <w:rPr>
                <w:sz w:val="22"/>
              </w:rPr>
            </w:pPr>
            <w:r>
              <w:rPr>
                <w:sz w:val="22"/>
              </w:rPr>
              <w:t>Operating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1594" w:type="dxa"/>
          </w:tcPr>
          <w:p>
            <w:pPr>
              <w:pStyle w:val="TableParagraph"/>
              <w:spacing w:before="25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4,339,269</w:t>
            </w:r>
          </w:p>
        </w:tc>
        <w:tc>
          <w:tcPr>
            <w:tcW w:w="1346" w:type="dxa"/>
          </w:tcPr>
          <w:p>
            <w:pPr>
              <w:pStyle w:val="TableParagraph"/>
              <w:spacing w:before="25"/>
              <w:ind w:left="177"/>
              <w:rPr>
                <w:sz w:val="22"/>
              </w:rPr>
            </w:pPr>
            <w:r>
              <w:rPr>
                <w:sz w:val="22"/>
              </w:rPr>
              <w:t>4,928,255</w:t>
            </w:r>
          </w:p>
        </w:tc>
        <w:tc>
          <w:tcPr>
            <w:tcW w:w="1371" w:type="dxa"/>
          </w:tcPr>
          <w:p>
            <w:pPr>
              <w:pStyle w:val="TableParagraph"/>
              <w:spacing w:before="25"/>
              <w:ind w:left="216"/>
              <w:rPr>
                <w:sz w:val="22"/>
              </w:rPr>
            </w:pPr>
            <w:r>
              <w:rPr>
                <w:sz w:val="22"/>
              </w:rPr>
              <w:t>5,160,955</w:t>
            </w:r>
          </w:p>
        </w:tc>
        <w:tc>
          <w:tcPr>
            <w:tcW w:w="1413" w:type="dxa"/>
          </w:tcPr>
          <w:p>
            <w:pPr>
              <w:pStyle w:val="TableParagraph"/>
              <w:spacing w:before="25"/>
              <w:ind w:left="249"/>
              <w:rPr>
                <w:sz w:val="22"/>
              </w:rPr>
            </w:pPr>
            <w:r>
              <w:rPr>
                <w:sz w:val="22"/>
              </w:rPr>
              <w:t>6,956,177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right="119"/>
              <w:jc w:val="right"/>
              <w:rPr>
                <w:sz w:val="22"/>
              </w:rPr>
            </w:pPr>
            <w:r>
              <w:rPr>
                <w:sz w:val="22"/>
              </w:rPr>
              <w:t>7,974,367</w:t>
            </w:r>
          </w:p>
        </w:tc>
      </w:tr>
    </w:tbl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ind w:left="116" w:right="133"/>
        <w:jc w:val="both"/>
      </w:pPr>
      <w:r>
        <w:rPr/>
        <w:t>The gross profit of the Company increased by 26% compared to March 31, 2022. Operating expenses</w:t>
      </w:r>
      <w:r>
        <w:rPr>
          <w:spacing w:val="-59"/>
        </w:rPr>
        <w:t> </w:t>
      </w:r>
      <w:r>
        <w:rPr/>
        <w:t>decreased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$3,635,098</w:t>
      </w:r>
      <w:r>
        <w:rPr>
          <w:spacing w:val="-5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March</w:t>
      </w:r>
      <w:r>
        <w:rPr>
          <w:spacing w:val="-5"/>
        </w:rPr>
        <w:t> </w:t>
      </w:r>
      <w:r>
        <w:rPr/>
        <w:t>31,</w:t>
      </w:r>
      <w:r>
        <w:rPr>
          <w:spacing w:val="-5"/>
        </w:rPr>
        <w:t> </w:t>
      </w:r>
      <w:r>
        <w:rPr/>
        <w:t>2022,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result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operational</w:t>
      </w:r>
      <w:r>
        <w:rPr>
          <w:spacing w:val="-5"/>
        </w:rPr>
        <w:t> </w:t>
      </w:r>
      <w:r>
        <w:rPr/>
        <w:t>efficiencies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cost-</w:t>
      </w:r>
      <w:r>
        <w:rPr>
          <w:spacing w:val="-58"/>
        </w:rPr>
        <w:t> </w:t>
      </w:r>
      <w:r>
        <w:rPr/>
        <w:t>cutting</w:t>
      </w:r>
      <w:r>
        <w:rPr>
          <w:spacing w:val="-2"/>
        </w:rPr>
        <w:t> </w:t>
      </w:r>
      <w:r>
        <w:rPr/>
        <w:t>measures.</w:t>
      </w:r>
    </w:p>
    <w:p>
      <w:pPr>
        <w:pStyle w:val="BodyText"/>
        <w:rPr>
          <w:sz w:val="21"/>
        </w:rPr>
      </w:pPr>
    </w:p>
    <w:p>
      <w:pPr>
        <w:pStyle w:val="Heading1"/>
        <w:jc w:val="both"/>
      </w:pPr>
      <w:r>
        <w:rPr>
          <w:spacing w:val="-1"/>
        </w:rPr>
        <w:t>LIQUIDITY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RESOURCES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116" w:right="136"/>
        <w:jc w:val="both"/>
      </w:pPr>
      <w:r>
        <w:rPr/>
        <w:t>As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March</w:t>
      </w:r>
      <w:r>
        <w:rPr>
          <w:spacing w:val="-13"/>
        </w:rPr>
        <w:t> </w:t>
      </w:r>
      <w:r>
        <w:rPr/>
        <w:t>31,</w:t>
      </w:r>
      <w:r>
        <w:rPr>
          <w:spacing w:val="-12"/>
        </w:rPr>
        <w:t> </w:t>
      </w:r>
      <w:r>
        <w:rPr/>
        <w:t>2023,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had</w:t>
      </w:r>
      <w:r>
        <w:rPr>
          <w:spacing w:val="-11"/>
        </w:rPr>
        <w:t> </w:t>
      </w:r>
      <w:r>
        <w:rPr/>
        <w:t>working</w:t>
      </w:r>
      <w:r>
        <w:rPr>
          <w:spacing w:val="-14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$(10,234,752),</w:t>
      </w:r>
      <w:r>
        <w:rPr>
          <w:spacing w:val="-11"/>
        </w:rPr>
        <w:t> </w:t>
      </w:r>
      <w:r>
        <w:rPr/>
        <w:t>inclusive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cash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$</w:t>
      </w:r>
      <w:r>
        <w:rPr>
          <w:sz w:val="20"/>
        </w:rPr>
        <w:t>159,157</w:t>
      </w:r>
      <w:r>
        <w:rPr/>
        <w:t>,</w:t>
      </w:r>
      <w:r>
        <w:rPr>
          <w:spacing w:val="-59"/>
        </w:rPr>
        <w:t> </w:t>
      </w:r>
      <w:r>
        <w:rPr/>
        <w:t>as</w:t>
      </w:r>
      <w:r>
        <w:rPr>
          <w:spacing w:val="-4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capital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$(2,927,221)</w:t>
      </w:r>
      <w:r>
        <w:rPr>
          <w:spacing w:val="-4"/>
        </w:rPr>
        <w:t> </w:t>
      </w:r>
      <w:r>
        <w:rPr/>
        <w:t>inclusive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cash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$</w:t>
      </w:r>
      <w:r>
        <w:rPr>
          <w:sz w:val="20"/>
        </w:rPr>
        <w:t>1,290,382</w:t>
      </w:r>
      <w:r>
        <w:rPr>
          <w:spacing w:val="-4"/>
          <w:sz w:val="20"/>
        </w:rPr>
        <w:t> </w:t>
      </w:r>
      <w:r>
        <w:rPr/>
        <w:t>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March</w:t>
      </w:r>
      <w:r>
        <w:rPr>
          <w:spacing w:val="-3"/>
        </w:rPr>
        <w:t> </w:t>
      </w:r>
      <w:r>
        <w:rPr/>
        <w:t>31,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5"/>
        <w:jc w:val="both"/>
      </w:pPr>
      <w:r>
        <w:rPr/>
        <w:t>The Company invests heavily in operational activities to achieve its strategic growth plan. This growth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geographic expansion, acquisitions and dedicated resources. Since launching the Company’s e-</w:t>
      </w:r>
      <w:r>
        <w:rPr>
          <w:spacing w:val="1"/>
        </w:rPr>
        <w:t> </w:t>
      </w:r>
      <w:r>
        <w:rPr/>
        <w:t>commerce</w:t>
      </w:r>
      <w:r>
        <w:rPr>
          <w:spacing w:val="1"/>
        </w:rPr>
        <w:t> </w:t>
      </w:r>
      <w:r>
        <w:rPr/>
        <w:t>platform,</w:t>
      </w:r>
      <w:r>
        <w:rPr>
          <w:spacing w:val="1"/>
        </w:rPr>
        <w:t> </w:t>
      </w:r>
      <w:hyperlink r:id="rId32">
        <w:r>
          <w:rPr/>
          <w:t>www.PlantX.com,</w:t>
        </w:r>
      </w:hyperlink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31,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Company’s attention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grow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expand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e-commerce platform.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41"/>
        <w:jc w:val="both"/>
      </w:pPr>
      <w:r>
        <w:rPr/>
        <w:t>Management has determined that in order to facilitate the growth and accommodate the demand for</w:t>
      </w:r>
      <w:r>
        <w:rPr>
          <w:spacing w:val="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being delivered</w:t>
      </w:r>
      <w:r>
        <w:rPr>
          <w:spacing w:val="-2"/>
        </w:rPr>
        <w:t> </w:t>
      </w:r>
      <w:r>
        <w:rPr/>
        <w:t>within one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two business</w:t>
      </w:r>
      <w:r>
        <w:rPr>
          <w:spacing w:val="1"/>
        </w:rPr>
        <w:t> </w:t>
      </w:r>
      <w:r>
        <w:rPr/>
        <w:t>day.</w:t>
      </w:r>
    </w:p>
    <w:p>
      <w:pPr>
        <w:pStyle w:val="BodyText"/>
        <w:rPr>
          <w:sz w:val="21"/>
        </w:rPr>
      </w:pPr>
    </w:p>
    <w:p>
      <w:pPr>
        <w:pStyle w:val="BodyText"/>
        <w:ind w:left="116" w:right="133"/>
        <w:jc w:val="both"/>
      </w:pPr>
      <w:r>
        <w:rPr/>
        <w:t>As a recently established company, lead generation of new consumers that are linked to the e-</w:t>
      </w:r>
      <w:r>
        <w:rPr>
          <w:spacing w:val="1"/>
        </w:rPr>
        <w:t> </w:t>
      </w:r>
      <w:r>
        <w:rPr/>
        <w:t>commerce</w:t>
      </w:r>
      <w:r>
        <w:rPr>
          <w:spacing w:val="-8"/>
        </w:rPr>
        <w:t> </w:t>
      </w:r>
      <w:r>
        <w:rPr/>
        <w:t>platform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serve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correlated</w:t>
      </w:r>
      <w:r>
        <w:rPr>
          <w:spacing w:val="-7"/>
        </w:rPr>
        <w:t> </w:t>
      </w:r>
      <w:r>
        <w:rPr/>
        <w:t>driver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sales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revenue.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brand</w:t>
      </w:r>
      <w:r>
        <w:rPr>
          <w:spacing w:val="-58"/>
        </w:rPr>
        <w:t> </w:t>
      </w:r>
      <w:r>
        <w:rPr/>
        <w:t>awareness and promote ‘lead generation’ to the Company’s e-commerce platform, the Company has</w:t>
      </w:r>
      <w:r>
        <w:rPr>
          <w:spacing w:val="1"/>
        </w:rPr>
        <w:t> </w:t>
      </w:r>
      <w:r>
        <w:rPr/>
        <w:t>made, and continues to make, key partnerships with plant-based online influencers, athletes and</w:t>
      </w:r>
      <w:r>
        <w:rPr>
          <w:spacing w:val="1"/>
        </w:rPr>
        <w:t> </w:t>
      </w:r>
      <w:r>
        <w:rPr/>
        <w:t>celebrities. This strategy is not only to generate leads to the website, but also to educate potential</w:t>
      </w:r>
      <w:r>
        <w:rPr>
          <w:spacing w:val="1"/>
        </w:rPr>
        <w:t> </w:t>
      </w:r>
      <w:r>
        <w:rPr/>
        <w:t>customers about the benefit of a plant-based diet. One way the company aims to achieve this strategy</w:t>
      </w:r>
      <w:r>
        <w:rPr>
          <w:spacing w:val="-59"/>
        </w:rPr>
        <w:t> </w:t>
      </w:r>
      <w:r>
        <w:rPr/>
        <w:t>is</w:t>
      </w:r>
      <w:r>
        <w:rPr>
          <w:spacing w:val="-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/>
        <w:t>partnerships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expanded</w:t>
      </w:r>
      <w:r>
        <w:rPr>
          <w:spacing w:val="-2"/>
        </w:rPr>
        <w:t> </w:t>
      </w:r>
      <w:r>
        <w:rPr/>
        <w:t>product categories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differentiated</w:t>
      </w:r>
      <w:r>
        <w:rPr>
          <w:spacing w:val="-4"/>
        </w:rPr>
        <w:t> </w:t>
      </w:r>
      <w:r>
        <w:rPr/>
        <w:t>one-stop-shop.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0416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5"/>
        <w:jc w:val="both"/>
      </w:pPr>
      <w:r>
        <w:rPr/>
        <w:t>Media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publicity</w:t>
      </w:r>
      <w:r>
        <w:rPr>
          <w:spacing w:val="-5"/>
        </w:rPr>
        <w:t> </w:t>
      </w:r>
      <w:r>
        <w:rPr/>
        <w:t>have</w:t>
      </w:r>
      <w:r>
        <w:rPr>
          <w:spacing w:val="-8"/>
        </w:rPr>
        <w:t> </w:t>
      </w:r>
      <w:r>
        <w:rPr/>
        <w:t>also</w:t>
      </w:r>
      <w:r>
        <w:rPr>
          <w:spacing w:val="-5"/>
        </w:rPr>
        <w:t> </w:t>
      </w:r>
      <w:r>
        <w:rPr/>
        <w:t>served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8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tool</w:t>
      </w:r>
      <w:r>
        <w:rPr>
          <w:spacing w:val="-9"/>
        </w:rPr>
        <w:t> </w:t>
      </w:r>
      <w:r>
        <w:rPr/>
        <w:t>through</w:t>
      </w:r>
      <w:r>
        <w:rPr>
          <w:spacing w:val="-8"/>
        </w:rPr>
        <w:t> </w:t>
      </w:r>
      <w:r>
        <w:rPr/>
        <w:t>unique</w:t>
      </w:r>
      <w:r>
        <w:rPr>
          <w:spacing w:val="-4"/>
        </w:rPr>
        <w:t> </w:t>
      </w:r>
      <w:r>
        <w:rPr/>
        <w:t>content</w:t>
      </w:r>
      <w:r>
        <w:rPr>
          <w:spacing w:val="-7"/>
        </w:rPr>
        <w:t> </w:t>
      </w:r>
      <w:r>
        <w:rPr/>
        <w:t>creation,</w:t>
      </w:r>
      <w:r>
        <w:rPr>
          <w:spacing w:val="-6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59"/>
        </w:rPr>
        <w:t> </w:t>
      </w:r>
      <w:r>
        <w:rPr/>
        <w:t>Company’s YouTube</w:t>
      </w:r>
      <w:r>
        <w:rPr>
          <w:spacing w:val="-2"/>
        </w:rPr>
        <w:t> </w:t>
      </w:r>
      <w:r>
        <w:rPr/>
        <w:t>channel.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3"/>
        <w:jc w:val="both"/>
      </w:pPr>
      <w:r>
        <w:rPr/>
        <w:t>In</w:t>
      </w:r>
      <w:r>
        <w:rPr>
          <w:spacing w:val="-5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organic</w:t>
      </w:r>
      <w:r>
        <w:rPr>
          <w:spacing w:val="-6"/>
        </w:rPr>
        <w:t> </w:t>
      </w:r>
      <w:r>
        <w:rPr/>
        <w:t>growth,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completed</w:t>
      </w:r>
      <w:r>
        <w:rPr>
          <w:spacing w:val="-6"/>
        </w:rPr>
        <w:t> </w:t>
      </w:r>
      <w:r>
        <w:rPr/>
        <w:t>strategic</w:t>
      </w:r>
      <w:r>
        <w:rPr>
          <w:spacing w:val="-6"/>
        </w:rPr>
        <w:t> </w:t>
      </w:r>
      <w:r>
        <w:rPr/>
        <w:t>acquisitions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highly</w:t>
      </w:r>
      <w:r>
        <w:rPr>
          <w:spacing w:val="-4"/>
        </w:rPr>
        <w:t> </w:t>
      </w:r>
      <w:r>
        <w:rPr/>
        <w:t>synergistic</w:t>
      </w:r>
      <w:r>
        <w:rPr>
          <w:spacing w:val="-6"/>
        </w:rPr>
        <w:t> </w:t>
      </w:r>
      <w:r>
        <w:rPr/>
        <w:t>plant-</w:t>
      </w:r>
      <w:r>
        <w:rPr>
          <w:spacing w:val="-59"/>
        </w:rPr>
        <w:t> </w:t>
      </w:r>
      <w:r>
        <w:rPr/>
        <w:t>based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high-growth</w:t>
      </w:r>
      <w:r>
        <w:rPr>
          <w:spacing w:val="1"/>
        </w:rPr>
        <w:t> </w:t>
      </w:r>
      <w:r>
        <w:rPr/>
        <w:t>segments,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fundamentals,</w:t>
      </w:r>
      <w:r>
        <w:rPr>
          <w:spacing w:val="-10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valuable</w:t>
      </w:r>
      <w:r>
        <w:rPr>
          <w:spacing w:val="-10"/>
        </w:rPr>
        <w:t> </w:t>
      </w:r>
      <w:r>
        <w:rPr/>
        <w:t>know-how,</w:t>
      </w:r>
      <w:r>
        <w:rPr>
          <w:spacing w:val="-10"/>
        </w:rPr>
        <w:t> </w:t>
      </w:r>
      <w:r>
        <w:rPr/>
        <w:t>integrate</w:t>
      </w:r>
      <w:r>
        <w:rPr>
          <w:spacing w:val="-10"/>
        </w:rPr>
        <w:t> </w:t>
      </w:r>
      <w:r>
        <w:rPr/>
        <w:t>an</w:t>
      </w:r>
      <w:r>
        <w:rPr>
          <w:spacing w:val="-12"/>
        </w:rPr>
        <w:t> </w:t>
      </w:r>
      <w:r>
        <w:rPr/>
        <w:t>existing</w:t>
      </w:r>
      <w:r>
        <w:rPr>
          <w:spacing w:val="-11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base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supply-chains,</w:t>
      </w:r>
      <w:r>
        <w:rPr>
          <w:spacing w:val="-9"/>
        </w:rPr>
        <w:t> </w:t>
      </w:r>
      <w:r>
        <w:rPr/>
        <w:t>and</w:t>
      </w:r>
      <w:r>
        <w:rPr>
          <w:spacing w:val="-59"/>
        </w:rPr>
        <w:t> </w:t>
      </w:r>
      <w:r>
        <w:rPr/>
        <w:t>are complementary to the existing e-commerce platform. These acquired companies have generated</w:t>
      </w:r>
      <w:r>
        <w:rPr>
          <w:spacing w:val="1"/>
        </w:rPr>
        <w:t> </w:t>
      </w:r>
      <w:r>
        <w:rPr/>
        <w:t>revenue,</w:t>
      </w:r>
      <w:r>
        <w:rPr>
          <w:spacing w:val="-2"/>
        </w:rPr>
        <w:t> </w:t>
      </w:r>
      <w:r>
        <w:rPr/>
        <w:t>expanded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customer</w:t>
      </w:r>
      <w:r>
        <w:rPr>
          <w:spacing w:val="1"/>
        </w:rPr>
        <w:t> </w:t>
      </w:r>
      <w:r>
        <w:rPr/>
        <w:t>base,</w:t>
      </w:r>
      <w:r>
        <w:rPr>
          <w:spacing w:val="-2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reach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enhanced Company</w:t>
      </w:r>
      <w:r>
        <w:rPr>
          <w:spacing w:val="-1"/>
        </w:rPr>
        <w:t> </w:t>
      </w:r>
      <w:r>
        <w:rPr/>
        <w:t>platform.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44"/>
        <w:jc w:val="both"/>
      </w:pPr>
      <w:r>
        <w:rPr/>
        <w:t>Depending on future events, the rate of expenditures and general and administrative costs could</w:t>
      </w:r>
      <w:r>
        <w:rPr>
          <w:spacing w:val="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decrease.</w:t>
      </w:r>
    </w:p>
    <w:p>
      <w:pPr>
        <w:pStyle w:val="BodyText"/>
        <w:rPr>
          <w:sz w:val="21"/>
        </w:rPr>
      </w:pPr>
    </w:p>
    <w:p>
      <w:pPr>
        <w:pStyle w:val="Heading1"/>
        <w:jc w:val="both"/>
      </w:pPr>
      <w:r>
        <w:rPr/>
        <w:t>Liquidity</w:t>
      </w:r>
      <w:r>
        <w:rPr>
          <w:spacing w:val="-3"/>
        </w:rPr>
        <w:t> </w:t>
      </w:r>
      <w:r>
        <w:rPr/>
        <w:t>and Solvency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summarizes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Company’s</w:t>
      </w:r>
      <w:r>
        <w:rPr>
          <w:spacing w:val="-7"/>
        </w:rPr>
        <w:t> </w:t>
      </w:r>
      <w:r>
        <w:rPr/>
        <w:t>cash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hand,</w:t>
      </w:r>
      <w:r>
        <w:rPr>
          <w:spacing w:val="-3"/>
        </w:rPr>
        <w:t> </w:t>
      </w:r>
      <w:r>
        <w:rPr/>
        <w:t>working</w:t>
      </w:r>
      <w:r>
        <w:rPr>
          <w:spacing w:val="-2"/>
        </w:rPr>
        <w:t> </w:t>
      </w:r>
      <w:r>
        <w:rPr/>
        <w:t>capital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cash</w:t>
      </w:r>
      <w:r>
        <w:rPr>
          <w:spacing w:val="-5"/>
        </w:rPr>
        <w:t> </w:t>
      </w:r>
      <w:r>
        <w:rPr/>
        <w:t>flow: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5"/>
        <w:gridCol w:w="3040"/>
        <w:gridCol w:w="2012"/>
      </w:tblGrid>
      <w:tr>
        <w:trPr>
          <w:trHeight w:val="267" w:hRule="atLeast"/>
        </w:trPr>
        <w:tc>
          <w:tcPr>
            <w:tcW w:w="44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0" w:type="dxa"/>
          </w:tcPr>
          <w:p>
            <w:pPr>
              <w:pStyle w:val="TableParagraph"/>
              <w:spacing w:line="247" w:lineRule="exact"/>
              <w:ind w:left="1012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  <w:tc>
          <w:tcPr>
            <w:tcW w:w="2012" w:type="dxa"/>
          </w:tcPr>
          <w:p>
            <w:pPr>
              <w:pStyle w:val="TableParagraph"/>
              <w:spacing w:line="247" w:lineRule="exact"/>
              <w:ind w:left="498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</w:tr>
      <w:tr>
        <w:trPr>
          <w:trHeight w:val="304" w:hRule="atLeast"/>
        </w:trPr>
        <w:tc>
          <w:tcPr>
            <w:tcW w:w="44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15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601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</w:tr>
      <w:tr>
        <w:trPr>
          <w:trHeight w:val="313" w:hRule="atLeast"/>
        </w:trPr>
        <w:tc>
          <w:tcPr>
            <w:tcW w:w="4425" w:type="dxa"/>
          </w:tcPr>
          <w:p>
            <w:pPr>
              <w:pStyle w:val="TableParagraph"/>
              <w:spacing w:before="38"/>
              <w:ind w:left="200"/>
              <w:rPr>
                <w:sz w:val="22"/>
              </w:rPr>
            </w:pPr>
            <w:r>
              <w:rPr>
                <w:sz w:val="22"/>
              </w:rPr>
              <w:t>Cash</w:t>
            </w:r>
          </w:p>
        </w:tc>
        <w:tc>
          <w:tcPr>
            <w:tcW w:w="3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159,157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1,290,382</w:t>
            </w:r>
          </w:p>
        </w:tc>
      </w:tr>
      <w:tr>
        <w:trPr>
          <w:trHeight w:val="290" w:hRule="atLeast"/>
        </w:trPr>
        <w:tc>
          <w:tcPr>
            <w:tcW w:w="4425" w:type="dxa"/>
          </w:tcPr>
          <w:p>
            <w:pPr>
              <w:pStyle w:val="TableParagraph"/>
              <w:spacing w:before="15"/>
              <w:ind w:left="200"/>
              <w:rPr>
                <w:sz w:val="22"/>
              </w:rPr>
            </w:pPr>
            <w:r>
              <w:rPr>
                <w:sz w:val="22"/>
              </w:rPr>
              <w:t>Working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capital</w:t>
            </w:r>
          </w:p>
        </w:tc>
        <w:tc>
          <w:tcPr>
            <w:tcW w:w="3040" w:type="dxa"/>
          </w:tcPr>
          <w:p>
            <w:pPr>
              <w:pStyle w:val="TableParagraph"/>
              <w:spacing w:before="15"/>
              <w:ind w:right="499"/>
              <w:jc w:val="right"/>
              <w:rPr>
                <w:sz w:val="22"/>
              </w:rPr>
            </w:pPr>
            <w:r>
              <w:rPr>
                <w:sz w:val="22"/>
              </w:rPr>
              <w:t>(10,234,752)</w:t>
            </w:r>
          </w:p>
        </w:tc>
        <w:tc>
          <w:tcPr>
            <w:tcW w:w="2012" w:type="dxa"/>
          </w:tcPr>
          <w:p>
            <w:pPr>
              <w:pStyle w:val="TableParagraph"/>
              <w:spacing w:before="15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(2,927,221)</w:t>
            </w:r>
          </w:p>
        </w:tc>
      </w:tr>
      <w:tr>
        <w:trPr>
          <w:trHeight w:val="289" w:hRule="atLeast"/>
        </w:trPr>
        <w:tc>
          <w:tcPr>
            <w:tcW w:w="4425" w:type="dxa"/>
          </w:tcPr>
          <w:p>
            <w:pPr>
              <w:pStyle w:val="TableParagraph"/>
              <w:spacing w:before="15"/>
              <w:ind w:left="200"/>
              <w:rPr>
                <w:sz w:val="22"/>
              </w:rPr>
            </w:pPr>
            <w:r>
              <w:rPr>
                <w:sz w:val="22"/>
              </w:rPr>
              <w:t>Cash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</w:tc>
        <w:tc>
          <w:tcPr>
            <w:tcW w:w="3040" w:type="dxa"/>
          </w:tcPr>
          <w:p>
            <w:pPr>
              <w:pStyle w:val="TableParagraph"/>
              <w:spacing w:before="15"/>
              <w:ind w:right="499"/>
              <w:jc w:val="right"/>
              <w:rPr>
                <w:sz w:val="22"/>
              </w:rPr>
            </w:pPr>
            <w:r>
              <w:rPr>
                <w:sz w:val="22"/>
              </w:rPr>
              <w:t>(10,014,029)</w:t>
            </w:r>
          </w:p>
        </w:tc>
        <w:tc>
          <w:tcPr>
            <w:tcW w:w="2012" w:type="dxa"/>
          </w:tcPr>
          <w:p>
            <w:pPr>
              <w:pStyle w:val="TableParagraph"/>
              <w:spacing w:before="15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(18,893,701)</w:t>
            </w:r>
          </w:p>
        </w:tc>
      </w:tr>
      <w:tr>
        <w:trPr>
          <w:trHeight w:val="289" w:hRule="atLeast"/>
        </w:trPr>
        <w:tc>
          <w:tcPr>
            <w:tcW w:w="4425" w:type="dxa"/>
          </w:tcPr>
          <w:p>
            <w:pPr>
              <w:pStyle w:val="TableParagraph"/>
              <w:spacing w:before="14"/>
              <w:ind w:left="200"/>
              <w:rPr>
                <w:sz w:val="22"/>
              </w:rPr>
            </w:pPr>
            <w:r>
              <w:rPr>
                <w:sz w:val="22"/>
              </w:rPr>
              <w:t>Cash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</w:tc>
        <w:tc>
          <w:tcPr>
            <w:tcW w:w="3040" w:type="dxa"/>
          </w:tcPr>
          <w:p>
            <w:pPr>
              <w:pStyle w:val="TableParagraph"/>
              <w:spacing w:before="14"/>
              <w:ind w:right="499"/>
              <w:jc w:val="right"/>
              <w:rPr>
                <w:sz w:val="22"/>
              </w:rPr>
            </w:pPr>
            <w:r>
              <w:rPr>
                <w:sz w:val="22"/>
              </w:rPr>
              <w:t>(353,363)</w:t>
            </w:r>
          </w:p>
        </w:tc>
        <w:tc>
          <w:tcPr>
            <w:tcW w:w="2012" w:type="dxa"/>
          </w:tcPr>
          <w:p>
            <w:pPr>
              <w:pStyle w:val="TableParagraph"/>
              <w:spacing w:before="14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(5,530,276)</w:t>
            </w:r>
          </w:p>
        </w:tc>
      </w:tr>
      <w:tr>
        <w:trPr>
          <w:trHeight w:val="290" w:hRule="atLeast"/>
        </w:trPr>
        <w:tc>
          <w:tcPr>
            <w:tcW w:w="4425" w:type="dxa"/>
          </w:tcPr>
          <w:p>
            <w:pPr>
              <w:pStyle w:val="TableParagraph"/>
              <w:spacing w:before="15"/>
              <w:ind w:left="200"/>
              <w:rPr>
                <w:sz w:val="22"/>
              </w:rPr>
            </w:pPr>
            <w:r>
              <w:rPr>
                <w:sz w:val="22"/>
              </w:rPr>
              <w:t>Cash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Financing activities</w:t>
            </w:r>
          </w:p>
        </w:tc>
        <w:tc>
          <w:tcPr>
            <w:tcW w:w="3040" w:type="dxa"/>
          </w:tcPr>
          <w:p>
            <w:pPr>
              <w:pStyle w:val="TableParagraph"/>
              <w:spacing w:before="15"/>
              <w:ind w:right="498"/>
              <w:jc w:val="right"/>
              <w:rPr>
                <w:sz w:val="22"/>
              </w:rPr>
            </w:pPr>
            <w:r>
              <w:rPr>
                <w:sz w:val="22"/>
              </w:rPr>
              <w:t>8,036,597</w:t>
            </w:r>
          </w:p>
        </w:tc>
        <w:tc>
          <w:tcPr>
            <w:tcW w:w="2012" w:type="dxa"/>
          </w:tcPr>
          <w:p>
            <w:pPr>
              <w:pStyle w:val="TableParagraph"/>
              <w:spacing w:before="15"/>
              <w:ind w:right="188"/>
              <w:jc w:val="right"/>
              <w:rPr>
                <w:sz w:val="22"/>
              </w:rPr>
            </w:pPr>
            <w:r>
              <w:rPr>
                <w:sz w:val="22"/>
              </w:rPr>
              <w:t>5,072,928</w:t>
            </w:r>
          </w:p>
        </w:tc>
      </w:tr>
      <w:tr>
        <w:trPr>
          <w:trHeight w:val="268" w:hRule="atLeast"/>
        </w:trPr>
        <w:tc>
          <w:tcPr>
            <w:tcW w:w="4425" w:type="dxa"/>
          </w:tcPr>
          <w:p>
            <w:pPr>
              <w:pStyle w:val="TableParagraph"/>
              <w:spacing w:line="233" w:lineRule="exact" w:before="15"/>
              <w:ind w:left="200"/>
              <w:rPr>
                <w:sz w:val="22"/>
              </w:rPr>
            </w:pPr>
            <w:r>
              <w:rPr>
                <w:sz w:val="22"/>
              </w:rPr>
              <w:t>Net Change 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Cash</w:t>
            </w:r>
          </w:p>
        </w:tc>
        <w:tc>
          <w:tcPr>
            <w:tcW w:w="3040" w:type="dxa"/>
          </w:tcPr>
          <w:p>
            <w:pPr>
              <w:pStyle w:val="TableParagraph"/>
              <w:spacing w:line="233" w:lineRule="exact" w:before="15"/>
              <w:ind w:right="499"/>
              <w:jc w:val="right"/>
              <w:rPr>
                <w:sz w:val="22"/>
              </w:rPr>
            </w:pPr>
            <w:r>
              <w:rPr>
                <w:sz w:val="22"/>
              </w:rPr>
              <w:t>(1,131,225)</w:t>
            </w:r>
          </w:p>
        </w:tc>
        <w:tc>
          <w:tcPr>
            <w:tcW w:w="2012" w:type="dxa"/>
          </w:tcPr>
          <w:p>
            <w:pPr>
              <w:pStyle w:val="TableParagraph"/>
              <w:spacing w:line="233" w:lineRule="exact" w:before="15"/>
              <w:ind w:right="190"/>
              <w:jc w:val="right"/>
              <w:rPr>
                <w:sz w:val="22"/>
              </w:rPr>
            </w:pPr>
            <w:r>
              <w:rPr>
                <w:sz w:val="22"/>
              </w:rPr>
              <w:t>(19,074,513)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6" w:right="138"/>
        <w:jc w:val="both"/>
      </w:pPr>
      <w:r>
        <w:rPr/>
        <w:t>Cash</w:t>
      </w:r>
      <w:r>
        <w:rPr>
          <w:spacing w:val="-7"/>
        </w:rPr>
        <w:t> </w:t>
      </w:r>
      <w:r>
        <w:rPr/>
        <w:t>used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was</w:t>
      </w:r>
      <w:r>
        <w:rPr>
          <w:spacing w:val="-9"/>
        </w:rPr>
        <w:t> </w:t>
      </w:r>
      <w:r>
        <w:rPr/>
        <w:t>$(10,014,029)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year</w:t>
      </w:r>
      <w:r>
        <w:rPr>
          <w:spacing w:val="-8"/>
        </w:rPr>
        <w:t> </w:t>
      </w:r>
      <w:r>
        <w:rPr/>
        <w:t>ended</w:t>
      </w:r>
      <w:r>
        <w:rPr>
          <w:spacing w:val="-9"/>
        </w:rPr>
        <w:t> </w:t>
      </w:r>
      <w:r>
        <w:rPr/>
        <w:t>March</w:t>
      </w:r>
      <w:r>
        <w:rPr>
          <w:spacing w:val="-6"/>
        </w:rPr>
        <w:t> </w:t>
      </w:r>
      <w:r>
        <w:rPr/>
        <w:t>31,</w:t>
      </w:r>
      <w:r>
        <w:rPr>
          <w:spacing w:val="-6"/>
        </w:rPr>
        <w:t> </w:t>
      </w:r>
      <w:r>
        <w:rPr/>
        <w:t>2023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primarily</w:t>
      </w:r>
      <w:r>
        <w:rPr>
          <w:spacing w:val="-59"/>
        </w:rPr>
        <w:t> </w:t>
      </w:r>
      <w:r>
        <w:rPr/>
        <w:t>consisted of inventory purchases and settlement of accounts payable and other liabilities. Cash used</w:t>
      </w:r>
      <w:r>
        <w:rPr>
          <w:spacing w:val="1"/>
        </w:rPr>
        <w:t> </w:t>
      </w:r>
      <w:r>
        <w:rPr/>
        <w:t>in</w:t>
      </w:r>
      <w:r>
        <w:rPr>
          <w:spacing w:val="-12"/>
        </w:rPr>
        <w:t> </w:t>
      </w:r>
      <w:r>
        <w:rPr/>
        <w:t>investing</w:t>
      </w:r>
      <w:r>
        <w:rPr>
          <w:spacing w:val="-12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$(353,363)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year</w:t>
      </w:r>
      <w:r>
        <w:rPr>
          <w:spacing w:val="-10"/>
        </w:rPr>
        <w:t> </w:t>
      </w:r>
      <w:r>
        <w:rPr/>
        <w:t>ended</w:t>
      </w:r>
      <w:r>
        <w:rPr>
          <w:spacing w:val="-12"/>
        </w:rPr>
        <w:t> </w:t>
      </w:r>
      <w:r>
        <w:rPr/>
        <w:t>March</w:t>
      </w:r>
      <w:r>
        <w:rPr>
          <w:spacing w:val="-11"/>
        </w:rPr>
        <w:t> </w:t>
      </w:r>
      <w:r>
        <w:rPr/>
        <w:t>31,</w:t>
      </w:r>
      <w:r>
        <w:rPr>
          <w:spacing w:val="-10"/>
        </w:rPr>
        <w:t> </w:t>
      </w:r>
      <w:r>
        <w:rPr/>
        <w:t>20223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mainly</w:t>
      </w:r>
      <w:r>
        <w:rPr>
          <w:spacing w:val="-11"/>
        </w:rPr>
        <w:t> </w:t>
      </w:r>
      <w:r>
        <w:rPr/>
        <w:t>attributable</w:t>
      </w:r>
      <w:r>
        <w:rPr>
          <w:spacing w:val="-59"/>
        </w:rPr>
        <w:t> </w:t>
      </w:r>
      <w:r>
        <w:rPr/>
        <w:t>to</w:t>
      </w:r>
      <w:r>
        <w:rPr>
          <w:spacing w:val="-3"/>
        </w:rPr>
        <w:t> </w:t>
      </w:r>
      <w:r>
        <w:rPr/>
        <w:t>the share and</w:t>
      </w:r>
      <w:r>
        <w:rPr>
          <w:spacing w:val="-2"/>
        </w:rPr>
        <w:t> </w:t>
      </w:r>
      <w:r>
        <w:rPr/>
        <w:t>asset</w:t>
      </w:r>
      <w:r>
        <w:rPr>
          <w:spacing w:val="2"/>
        </w:rPr>
        <w:t> </w:t>
      </w:r>
      <w:r>
        <w:rPr/>
        <w:t>acquisitions.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5"/>
        <w:jc w:val="both"/>
      </w:pPr>
      <w:r>
        <w:rPr/>
        <w:t>Cash provided by financing activities was $8,036,597 for the year ended March 31, 2023, which</w:t>
      </w:r>
      <w:r>
        <w:rPr>
          <w:spacing w:val="1"/>
        </w:rPr>
        <w:t> </w:t>
      </w:r>
      <w:r>
        <w:rPr/>
        <w:t>consisted of the proceeds from private placement, exercise of stock options, proceeds from loans,</w:t>
      </w:r>
      <w:r>
        <w:rPr>
          <w:spacing w:val="1"/>
        </w:rPr>
        <w:t> </w:t>
      </w:r>
      <w:r>
        <w:rPr/>
        <w:t>payment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lease</w:t>
      </w:r>
      <w:r>
        <w:rPr>
          <w:spacing w:val="-1"/>
        </w:rPr>
        <w:t> </w:t>
      </w:r>
      <w:r>
        <w:rPr/>
        <w:t>liabilities,</w:t>
      </w:r>
      <w:r>
        <w:rPr>
          <w:spacing w:val="1"/>
        </w:rPr>
        <w:t> </w:t>
      </w:r>
      <w:r>
        <w:rPr/>
        <w:t>net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repayment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share</w:t>
      </w:r>
      <w:r>
        <w:rPr>
          <w:spacing w:val="-3"/>
        </w:rPr>
        <w:t> </w:t>
      </w:r>
      <w:r>
        <w:rPr/>
        <w:t>subscriptions</w:t>
      </w:r>
      <w:r>
        <w:rPr>
          <w:spacing w:val="-2"/>
        </w:rPr>
        <w:t> </w:t>
      </w:r>
      <w:r>
        <w:rPr/>
        <w:t>received.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9"/>
        <w:jc w:val="both"/>
      </w:pPr>
      <w:r>
        <w:rPr/>
        <w:t>Cash</w:t>
      </w:r>
      <w:r>
        <w:rPr>
          <w:spacing w:val="-7"/>
        </w:rPr>
        <w:t> </w:t>
      </w:r>
      <w:r>
        <w:rPr/>
        <w:t>used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was</w:t>
      </w:r>
      <w:r>
        <w:rPr>
          <w:spacing w:val="-9"/>
        </w:rPr>
        <w:t> </w:t>
      </w:r>
      <w:r>
        <w:rPr/>
        <w:t>$(18,893,701)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year</w:t>
      </w:r>
      <w:r>
        <w:rPr>
          <w:spacing w:val="-8"/>
        </w:rPr>
        <w:t> </w:t>
      </w:r>
      <w:r>
        <w:rPr/>
        <w:t>ended</w:t>
      </w:r>
      <w:r>
        <w:rPr>
          <w:spacing w:val="-9"/>
        </w:rPr>
        <w:t> </w:t>
      </w:r>
      <w:r>
        <w:rPr/>
        <w:t>March</w:t>
      </w:r>
      <w:r>
        <w:rPr>
          <w:spacing w:val="-6"/>
        </w:rPr>
        <w:t> </w:t>
      </w:r>
      <w:r>
        <w:rPr/>
        <w:t>31,</w:t>
      </w:r>
      <w:r>
        <w:rPr>
          <w:spacing w:val="-7"/>
        </w:rPr>
        <w:t> </w:t>
      </w:r>
      <w:r>
        <w:rPr/>
        <w:t>2022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primarily</w:t>
      </w:r>
      <w:r>
        <w:rPr>
          <w:spacing w:val="-59"/>
        </w:rPr>
        <w:t> </w:t>
      </w:r>
      <w:r>
        <w:rPr/>
        <w:t>consisted of inventory purchases and settlement of accounts payable and other liabilities. Cash used</w:t>
      </w:r>
      <w:r>
        <w:rPr>
          <w:spacing w:val="1"/>
        </w:rPr>
        <w:t> </w:t>
      </w:r>
      <w:r>
        <w:rPr/>
        <w:t>in</w:t>
      </w:r>
      <w:r>
        <w:rPr>
          <w:spacing w:val="-10"/>
        </w:rPr>
        <w:t> </w:t>
      </w:r>
      <w:r>
        <w:rPr/>
        <w:t>investing</w:t>
      </w:r>
      <w:r>
        <w:rPr>
          <w:spacing w:val="-9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$5,530,276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year</w:t>
      </w:r>
      <w:r>
        <w:rPr>
          <w:spacing w:val="-10"/>
        </w:rPr>
        <w:t> </w:t>
      </w:r>
      <w:r>
        <w:rPr/>
        <w:t>ended</w:t>
      </w:r>
      <w:r>
        <w:rPr>
          <w:spacing w:val="-10"/>
        </w:rPr>
        <w:t> </w:t>
      </w:r>
      <w:r>
        <w:rPr/>
        <w:t>March</w:t>
      </w:r>
      <w:r>
        <w:rPr>
          <w:spacing w:val="-11"/>
        </w:rPr>
        <w:t> </w:t>
      </w:r>
      <w:r>
        <w:rPr/>
        <w:t>31,</w:t>
      </w:r>
      <w:r>
        <w:rPr>
          <w:spacing w:val="-8"/>
        </w:rPr>
        <w:t> </w:t>
      </w:r>
      <w:r>
        <w:rPr/>
        <w:t>2022,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mainly</w:t>
      </w:r>
      <w:r>
        <w:rPr>
          <w:spacing w:val="-8"/>
        </w:rPr>
        <w:t> </w:t>
      </w:r>
      <w:r>
        <w:rPr/>
        <w:t>attributable</w:t>
      </w:r>
      <w:r>
        <w:rPr>
          <w:spacing w:val="-59"/>
        </w:rPr>
        <w:t> </w:t>
      </w:r>
      <w:r>
        <w:rPr/>
        <w:t>to</w:t>
      </w:r>
      <w:r>
        <w:rPr>
          <w:spacing w:val="-3"/>
        </w:rPr>
        <w:t> </w:t>
      </w:r>
      <w:r>
        <w:rPr/>
        <w:t>the share and</w:t>
      </w:r>
      <w:r>
        <w:rPr>
          <w:spacing w:val="-2"/>
        </w:rPr>
        <w:t> </w:t>
      </w:r>
      <w:r>
        <w:rPr/>
        <w:t>asset</w:t>
      </w:r>
      <w:r>
        <w:rPr>
          <w:spacing w:val="2"/>
        </w:rPr>
        <w:t> </w:t>
      </w:r>
      <w:r>
        <w:rPr/>
        <w:t>acquisitions.</w:t>
      </w:r>
    </w:p>
    <w:p>
      <w:pPr>
        <w:pStyle w:val="BodyText"/>
        <w:rPr>
          <w:sz w:val="21"/>
        </w:rPr>
      </w:pPr>
    </w:p>
    <w:p>
      <w:pPr>
        <w:pStyle w:val="BodyText"/>
        <w:ind w:left="116" w:right="136"/>
        <w:jc w:val="both"/>
      </w:pPr>
      <w:r>
        <w:rPr/>
        <w:t>Cash provided by financing activities was $5,072,928 for the year ended March 31, 2022, which</w:t>
      </w:r>
      <w:r>
        <w:rPr>
          <w:spacing w:val="1"/>
        </w:rPr>
        <w:t> </w:t>
      </w:r>
      <w:r>
        <w:rPr/>
        <w:t>consisted of the proceeds from the private placement, the exercise of stock options, proceeds from</w:t>
      </w:r>
      <w:r>
        <w:rPr>
          <w:spacing w:val="1"/>
        </w:rPr>
        <w:t> </w:t>
      </w:r>
      <w:r>
        <w:rPr/>
        <w:t>loans, payment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lease</w:t>
      </w:r>
      <w:r>
        <w:rPr>
          <w:spacing w:val="-1"/>
        </w:rPr>
        <w:t> </w:t>
      </w:r>
      <w:r>
        <w:rPr/>
        <w:t>liabilities, net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repayment,</w:t>
      </w:r>
      <w:r>
        <w:rPr>
          <w:spacing w:val="-2"/>
        </w:rPr>
        <w:t> </w:t>
      </w:r>
      <w:r>
        <w:rPr/>
        <w:t>and share</w:t>
      </w:r>
      <w:r>
        <w:rPr>
          <w:spacing w:val="-3"/>
        </w:rPr>
        <w:t> </w:t>
      </w:r>
      <w:r>
        <w:rPr/>
        <w:t>subscriptions received.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0928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40"/>
        <w:jc w:val="both"/>
      </w:pPr>
      <w:r>
        <w:rPr/>
        <w:t>The Company has to raise additional funds in the future to continue its operations. There can be no</w:t>
      </w:r>
      <w:r>
        <w:rPr>
          <w:spacing w:val="1"/>
        </w:rPr>
        <w:t> </w:t>
      </w:r>
      <w:r>
        <w:rPr/>
        <w:t>assurance, however, that the Company will be successful in its efforts. If such funds are not available</w:t>
      </w:r>
      <w:r>
        <w:rPr>
          <w:spacing w:val="1"/>
        </w:rPr>
        <w:t> </w:t>
      </w:r>
      <w:r>
        <w:rPr/>
        <w:t>or other sources of financing cannot be obtained, then the Company may be forced to curtail its</w:t>
      </w:r>
      <w:r>
        <w:rPr>
          <w:spacing w:val="1"/>
        </w:rPr>
        <w:t> </w:t>
      </w:r>
      <w:r>
        <w:rPr/>
        <w:t>business activities.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  <w:jc w:val="both"/>
      </w:pPr>
      <w:r>
        <w:rPr/>
        <w:t>Capital</w:t>
      </w:r>
      <w:r>
        <w:rPr>
          <w:spacing w:val="-2"/>
        </w:rPr>
        <w:t> </w:t>
      </w:r>
      <w:r>
        <w:rPr/>
        <w:t>Resources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34"/>
        <w:jc w:val="both"/>
      </w:pPr>
      <w:r>
        <w:rPr/>
        <w:t>The Company’s primary assets as of March 31, 2023, are cash, receivables, inventories, and leased</w:t>
      </w:r>
      <w:r>
        <w:rPr>
          <w:spacing w:val="1"/>
        </w:rPr>
        <w:t> </w:t>
      </w:r>
      <w:r>
        <w:rPr/>
        <w:t>assets.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41"/>
        <w:jc w:val="both"/>
      </w:pPr>
      <w:r>
        <w:rPr/>
        <w:t>The</w:t>
      </w:r>
      <w:r>
        <w:rPr>
          <w:spacing w:val="-10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has</w:t>
      </w:r>
      <w:r>
        <w:rPr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commitments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expenditures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/>
        <w:t>known</w:t>
      </w:r>
      <w:r>
        <w:rPr>
          <w:spacing w:val="-10"/>
        </w:rPr>
        <w:t> </w:t>
      </w:r>
      <w:r>
        <w:rPr/>
        <w:t>trends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expected</w:t>
      </w:r>
      <w:r>
        <w:rPr>
          <w:spacing w:val="-59"/>
        </w:rPr>
        <w:t> </w:t>
      </w:r>
      <w:r>
        <w:rPr/>
        <w:t>fluctuations</w:t>
      </w:r>
      <w:r>
        <w:rPr>
          <w:spacing w:val="-3"/>
        </w:rPr>
        <w:t> </w:t>
      </w:r>
      <w:r>
        <w:rPr/>
        <w:t>in the Company’s capital</w:t>
      </w:r>
      <w:r>
        <w:rPr>
          <w:spacing w:val="-3"/>
        </w:rPr>
        <w:t> </w:t>
      </w:r>
      <w:r>
        <w:rPr/>
        <w:t>resources.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jc w:val="both"/>
      </w:pPr>
      <w:r>
        <w:rPr/>
        <w:t>SHARE</w:t>
      </w:r>
      <w:r>
        <w:rPr>
          <w:spacing w:val="-12"/>
        </w:rPr>
        <w:t> </w:t>
      </w:r>
      <w:r>
        <w:rPr/>
        <w:t>CAPITAL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/>
        <w:jc w:val="both"/>
      </w:pPr>
      <w:r>
        <w:rPr>
          <w:u w:val="single"/>
        </w:rPr>
        <w:t>Common</w:t>
      </w:r>
      <w:r>
        <w:rPr>
          <w:spacing w:val="-1"/>
          <w:u w:val="single"/>
        </w:rPr>
        <w:t> </w:t>
      </w:r>
      <w:r>
        <w:rPr>
          <w:u w:val="single"/>
        </w:rPr>
        <w:t>Shares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4"/>
        <w:ind w:left="116" w:right="138"/>
        <w:jc w:val="both"/>
      </w:pPr>
      <w:r>
        <w:rPr/>
        <w:t>The</w:t>
      </w:r>
      <w:r>
        <w:rPr>
          <w:spacing w:val="-11"/>
        </w:rPr>
        <w:t> </w:t>
      </w:r>
      <w:r>
        <w:rPr/>
        <w:t>Company’s</w:t>
      </w:r>
      <w:r>
        <w:rPr>
          <w:spacing w:val="-10"/>
        </w:rPr>
        <w:t> </w:t>
      </w:r>
      <w:r>
        <w:rPr/>
        <w:t>authorized</w:t>
      </w:r>
      <w:r>
        <w:rPr>
          <w:spacing w:val="-10"/>
        </w:rPr>
        <w:t> </w:t>
      </w:r>
      <w:r>
        <w:rPr/>
        <w:t>share</w:t>
      </w:r>
      <w:r>
        <w:rPr>
          <w:spacing w:val="-12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consists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unlimited</w:t>
      </w:r>
      <w:r>
        <w:rPr>
          <w:spacing w:val="-13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Common</w:t>
      </w:r>
      <w:r>
        <w:rPr>
          <w:spacing w:val="-13"/>
        </w:rPr>
        <w:t> </w:t>
      </w:r>
      <w:r>
        <w:rPr/>
        <w:t>Shares</w:t>
      </w:r>
      <w:r>
        <w:rPr>
          <w:spacing w:val="-13"/>
        </w:rPr>
        <w:t> </w:t>
      </w:r>
      <w:r>
        <w:rPr/>
        <w:t>without</w:t>
      </w:r>
      <w:r>
        <w:rPr>
          <w:spacing w:val="-59"/>
        </w:rPr>
        <w:t> </w:t>
      </w:r>
      <w:r>
        <w:rPr/>
        <w:t>par value. As the date of this MD&amp;A there are 9,688,175. Common Shares issued and outstanding.</w:t>
      </w:r>
      <w:r>
        <w:rPr>
          <w:spacing w:val="1"/>
        </w:rPr>
        <w:t> </w:t>
      </w:r>
      <w:r>
        <w:rPr/>
        <w:t>Holders of Common Shares are entitled to vote at all meetings of shareholders declared by the</w:t>
      </w:r>
      <w:r>
        <w:rPr>
          <w:spacing w:val="1"/>
        </w:rPr>
        <w:t> </w:t>
      </w:r>
      <w:r>
        <w:rPr/>
        <w:t>directors, and subject to the rights of holders of any shares ranking in priority to or on a parity with the</w:t>
      </w:r>
      <w:r>
        <w:rPr>
          <w:spacing w:val="1"/>
        </w:rPr>
        <w:t> </w:t>
      </w:r>
      <w:r>
        <w:rPr/>
        <w:t>Common Shares, to participate ratably in any distribution of property or assets upon the liquidation,</w:t>
      </w:r>
      <w:r>
        <w:rPr>
          <w:spacing w:val="1"/>
        </w:rPr>
        <w:t> </w:t>
      </w:r>
      <w:r>
        <w:rPr/>
        <w:t>winding</w:t>
      </w:r>
      <w:r>
        <w:rPr>
          <w:spacing w:val="-1"/>
        </w:rPr>
        <w:t> </w:t>
      </w:r>
      <w:r>
        <w:rPr/>
        <w:t>up or</w:t>
      </w:r>
      <w:r>
        <w:rPr>
          <w:spacing w:val="1"/>
        </w:rPr>
        <w:t> </w:t>
      </w:r>
      <w:r>
        <w:rPr/>
        <w:t>dissolution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5"/>
        <w:jc w:val="both"/>
      </w:pPr>
      <w:r>
        <w:rPr/>
        <w:t>Effective September 27, 2022, the Board of Directors of the Company have approved to consolidate</w:t>
      </w:r>
      <w:r>
        <w:rPr>
          <w:spacing w:val="1"/>
        </w:rPr>
        <w:t> </w:t>
      </w:r>
      <w:r>
        <w:rPr/>
        <w:t>the Common Shares of the Company on the 20 for (1) one basis., accordingly share capital, options</w:t>
      </w:r>
      <w:r>
        <w:rPr>
          <w:spacing w:val="1"/>
        </w:rPr>
        <w:t> </w:t>
      </w:r>
      <w:r>
        <w:rPr/>
        <w:t>and warrants</w:t>
      </w:r>
      <w:r>
        <w:rPr>
          <w:spacing w:val="-3"/>
        </w:rPr>
        <w:t> </w:t>
      </w:r>
      <w:r>
        <w:rPr/>
        <w:t>have been</w:t>
      </w:r>
      <w:r>
        <w:rPr>
          <w:spacing w:val="-5"/>
        </w:rPr>
        <w:t> </w:t>
      </w:r>
      <w:r>
        <w:rPr/>
        <w:t>adjusted</w:t>
      </w:r>
      <w:r>
        <w:rPr>
          <w:spacing w:val="-2"/>
        </w:rPr>
        <w:t> </w:t>
      </w:r>
      <w:r>
        <w:rPr/>
        <w:t>thereto.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6" w:right="132"/>
        <w:jc w:val="both"/>
      </w:pPr>
      <w:r>
        <w:rPr/>
        <w:t>Effective March 31, 2023, the Board of Directors of the Company have approved to consolidate the</w:t>
      </w:r>
      <w:r>
        <w:rPr>
          <w:spacing w:val="1"/>
        </w:rPr>
        <w:t> </w:t>
      </w:r>
      <w:r>
        <w:rPr/>
        <w:t>Common Shares of the Company on the 10 for (1) one basis., accordingly share capital, options and</w:t>
      </w:r>
      <w:r>
        <w:rPr>
          <w:spacing w:val="1"/>
        </w:rPr>
        <w:t> </w:t>
      </w:r>
      <w:r>
        <w:rPr/>
        <w:t>warrants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adjusted</w:t>
      </w:r>
      <w:r>
        <w:rPr>
          <w:spacing w:val="-2"/>
        </w:rPr>
        <w:t> </w:t>
      </w:r>
      <w:r>
        <w:rPr/>
        <w:t>thereto.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7"/>
        <w:jc w:val="both"/>
      </w:pPr>
      <w:r>
        <w:rPr/>
        <w:t>During the three months ended March 31, 2023, the Company issued an aggregate of 221,975</w:t>
      </w:r>
      <w:r>
        <w:rPr>
          <w:spacing w:val="1"/>
        </w:rPr>
        <w:t> </w:t>
      </w:r>
      <w:r>
        <w:rPr/>
        <w:t>Common Shares in settlement of vested performance share units (“PSUs”) and restricted share units</w:t>
      </w:r>
      <w:r>
        <w:rPr>
          <w:spacing w:val="1"/>
        </w:rPr>
        <w:t> </w:t>
      </w:r>
      <w:r>
        <w:rPr>
          <w:rFonts w:ascii="Arial" w:hAnsi="Arial"/>
          <w:b/>
        </w:rPr>
        <w:t>(“RSUs”)</w:t>
      </w:r>
      <w:r>
        <w:rPr>
          <w:rFonts w:ascii="Arial" w:hAnsi="Arial"/>
          <w:b/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certain</w:t>
      </w:r>
      <w:r>
        <w:rPr>
          <w:spacing w:val="-1"/>
        </w:rPr>
        <w:t> </w:t>
      </w:r>
      <w:r>
        <w:rPr/>
        <w:t>directors,</w:t>
      </w:r>
      <w:r>
        <w:rPr>
          <w:spacing w:val="2"/>
        </w:rPr>
        <w:t> </w:t>
      </w:r>
      <w:r>
        <w:rPr/>
        <w:t>officers,</w:t>
      </w:r>
      <w:r>
        <w:rPr>
          <w:spacing w:val="-2"/>
        </w:rPr>
        <w:t> </w:t>
      </w:r>
      <w:r>
        <w:rPr/>
        <w:t>employees and</w:t>
      </w:r>
      <w:r>
        <w:rPr>
          <w:spacing w:val="-1"/>
        </w:rPr>
        <w:t> </w:t>
      </w:r>
      <w:r>
        <w:rPr/>
        <w:t>consultants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Company.</w:t>
      </w:r>
    </w:p>
    <w:p>
      <w:pPr>
        <w:pStyle w:val="BodyText"/>
        <w:rPr>
          <w:sz w:val="21"/>
        </w:rPr>
      </w:pPr>
    </w:p>
    <w:p>
      <w:pPr>
        <w:pStyle w:val="BodyText"/>
        <w:ind w:left="116"/>
      </w:pPr>
      <w:r>
        <w:rPr>
          <w:u w:val="single"/>
        </w:rPr>
        <w:t>Warrants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68" w:lineRule="auto"/>
        <w:ind w:left="116" w:right="1592"/>
      </w:pPr>
      <w:r>
        <w:rPr/>
        <w:t>As of March 31, 2023 an aggregate of 2,242,626 Warrants are issued and outstanding.</w:t>
      </w:r>
      <w:r>
        <w:rPr>
          <w:spacing w:val="-59"/>
        </w:rPr>
        <w:t> </w:t>
      </w:r>
      <w:r>
        <w:rPr>
          <w:u w:val="single"/>
        </w:rPr>
        <w:t>Options</w:t>
      </w:r>
    </w:p>
    <w:p>
      <w:pPr>
        <w:pStyle w:val="BodyText"/>
        <w:ind w:left="116" w:right="136"/>
        <w:jc w:val="both"/>
      </w:pPr>
      <w:r>
        <w:rPr/>
        <w:t>As of the date of this MD&amp;A, there are 59,603 stock options (“</w:t>
      </w:r>
      <w:r>
        <w:rPr>
          <w:rFonts w:ascii="Arial" w:hAnsi="Arial"/>
          <w:b/>
        </w:rPr>
        <w:t>Options</w:t>
      </w:r>
      <w:r>
        <w:rPr/>
        <w:t>”) issued and outstanding under</w:t>
      </w:r>
      <w:r>
        <w:rPr>
          <w:spacing w:val="-59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Company’s</w:t>
      </w:r>
      <w:r>
        <w:rPr>
          <w:spacing w:val="-12"/>
        </w:rPr>
        <w:t> </w:t>
      </w:r>
      <w:r>
        <w:rPr>
          <w:spacing w:val="-1"/>
        </w:rPr>
        <w:t>stock</w:t>
      </w:r>
      <w:r>
        <w:rPr>
          <w:spacing w:val="-13"/>
        </w:rPr>
        <w:t> </w:t>
      </w:r>
      <w:r>
        <w:rPr>
          <w:spacing w:val="-1"/>
        </w:rPr>
        <w:t>option</w:t>
      </w:r>
      <w:r>
        <w:rPr>
          <w:spacing w:val="-13"/>
        </w:rPr>
        <w:t> </w:t>
      </w:r>
      <w:r>
        <w:rPr>
          <w:spacing w:val="-1"/>
        </w:rPr>
        <w:t>plan</w:t>
      </w:r>
      <w:r>
        <w:rPr>
          <w:spacing w:val="-13"/>
        </w:rPr>
        <w:t> </w:t>
      </w:r>
      <w:r>
        <w:rPr/>
        <w:t>(the</w:t>
      </w:r>
      <w:r>
        <w:rPr>
          <w:spacing w:val="-11"/>
        </w:rPr>
        <w:t> </w:t>
      </w:r>
      <w:r>
        <w:rPr>
          <w:rFonts w:ascii="Arial" w:hAnsi="Arial"/>
          <w:b/>
        </w:rPr>
        <w:t>“Stock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Option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Plan</w:t>
      </w:r>
      <w:r>
        <w:rPr/>
        <w:t>”).</w:t>
      </w:r>
      <w:r>
        <w:rPr>
          <w:spacing w:val="-11"/>
        </w:rPr>
        <w:t> </w:t>
      </w:r>
      <w:r>
        <w:rPr/>
        <w:t>Each</w:t>
      </w:r>
      <w:r>
        <w:rPr>
          <w:spacing w:val="-15"/>
        </w:rPr>
        <w:t> </w:t>
      </w:r>
      <w:r>
        <w:rPr/>
        <w:t>Option</w:t>
      </w:r>
      <w:r>
        <w:rPr>
          <w:spacing w:val="-13"/>
        </w:rPr>
        <w:t> </w:t>
      </w:r>
      <w:r>
        <w:rPr/>
        <w:t>entitles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holder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Option</w:t>
      </w:r>
      <w:r>
        <w:rPr>
          <w:spacing w:val="-2"/>
        </w:rPr>
        <w:t> </w:t>
      </w:r>
      <w:r>
        <w:rPr/>
        <w:t>for one</w:t>
      </w:r>
      <w:r>
        <w:rPr>
          <w:spacing w:val="-2"/>
        </w:rPr>
        <w:t> </w:t>
      </w:r>
      <w:r>
        <w:rPr/>
        <w:t>(1)</w:t>
      </w:r>
      <w:r>
        <w:rPr>
          <w:spacing w:val="1"/>
        </w:rPr>
        <w:t> </w:t>
      </w:r>
      <w:r>
        <w:rPr/>
        <w:t>Common</w:t>
      </w:r>
      <w:r>
        <w:rPr>
          <w:spacing w:val="-3"/>
        </w:rPr>
        <w:t> </w:t>
      </w:r>
      <w:r>
        <w:rPr/>
        <w:t>Share</w:t>
      </w:r>
      <w:r>
        <w:rPr>
          <w:spacing w:val="-2"/>
        </w:rPr>
        <w:t> </w:t>
      </w:r>
      <w:r>
        <w:rPr/>
        <w:t>in accordance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Stock</w:t>
      </w:r>
      <w:r>
        <w:rPr>
          <w:spacing w:val="-3"/>
        </w:rPr>
        <w:t> </w:t>
      </w:r>
      <w:r>
        <w:rPr/>
        <w:t>Option Plan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144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/>
      </w:pPr>
      <w:r>
        <w:rPr>
          <w:u w:val="single"/>
        </w:rPr>
        <w:t>Restricted</w:t>
      </w:r>
      <w:r>
        <w:rPr>
          <w:spacing w:val="-3"/>
          <w:u w:val="single"/>
        </w:rPr>
        <w:t> </w:t>
      </w:r>
      <w:r>
        <w:rPr>
          <w:u w:val="single"/>
        </w:rPr>
        <w:t>Share</w:t>
      </w:r>
      <w:r>
        <w:rPr>
          <w:spacing w:val="-3"/>
          <w:u w:val="single"/>
        </w:rPr>
        <w:t> </w:t>
      </w:r>
      <w:r>
        <w:rPr>
          <w:u w:val="single"/>
        </w:rPr>
        <w:t>Units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4"/>
        <w:ind w:left="116" w:right="135"/>
        <w:jc w:val="both"/>
      </w:pPr>
      <w:r>
        <w:rPr>
          <w:spacing w:val="-1"/>
        </w:rPr>
        <w:t>Restricted</w:t>
      </w:r>
      <w:r>
        <w:rPr>
          <w:spacing w:val="-17"/>
        </w:rPr>
        <w:t> </w:t>
      </w:r>
      <w:r>
        <w:rPr>
          <w:spacing w:val="-1"/>
        </w:rPr>
        <w:t>Share</w:t>
      </w:r>
      <w:r>
        <w:rPr>
          <w:spacing w:val="-14"/>
        </w:rPr>
        <w:t> </w:t>
      </w:r>
      <w:r>
        <w:rPr>
          <w:spacing w:val="-1"/>
        </w:rPr>
        <w:t>Units</w:t>
      </w:r>
      <w:r>
        <w:rPr>
          <w:spacing w:val="-18"/>
        </w:rPr>
        <w:t> </w:t>
      </w:r>
      <w:r>
        <w:rPr>
          <w:spacing w:val="-1"/>
        </w:rPr>
        <w:t>(“</w:t>
      </w:r>
      <w:r>
        <w:rPr>
          <w:rFonts w:ascii="Arial" w:hAnsi="Arial"/>
          <w:b/>
          <w:spacing w:val="-1"/>
        </w:rPr>
        <w:t>RSU</w:t>
      </w:r>
      <w:r>
        <w:rPr>
          <w:spacing w:val="-1"/>
        </w:rPr>
        <w:t>”s)</w:t>
      </w:r>
      <w:r>
        <w:rPr>
          <w:spacing w:val="-13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granted</w:t>
      </w:r>
      <w:r>
        <w:rPr>
          <w:spacing w:val="-17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Board</w:t>
      </w:r>
      <w:r>
        <w:rPr>
          <w:spacing w:val="-19"/>
        </w:rPr>
        <w:t> </w:t>
      </w:r>
      <w:r>
        <w:rPr/>
        <w:t>to</w:t>
      </w:r>
      <w:r>
        <w:rPr>
          <w:spacing w:val="-14"/>
        </w:rPr>
        <w:t> </w:t>
      </w:r>
      <w:r>
        <w:rPr/>
        <w:t>eligible</w:t>
      </w:r>
      <w:r>
        <w:rPr>
          <w:spacing w:val="-14"/>
        </w:rPr>
        <w:t> </w:t>
      </w:r>
      <w:r>
        <w:rPr/>
        <w:t>persons</w:t>
      </w:r>
      <w:r>
        <w:rPr>
          <w:spacing w:val="-14"/>
        </w:rPr>
        <w:t> </w:t>
      </w:r>
      <w:r>
        <w:rPr/>
        <w:t>pursuant</w:t>
      </w:r>
      <w:r>
        <w:rPr>
          <w:spacing w:val="-18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restricted share unit plan (the </w:t>
      </w:r>
      <w:r>
        <w:rPr>
          <w:rFonts w:ascii="Arial" w:hAnsi="Arial"/>
          <w:b/>
        </w:rPr>
        <w:t>“RSU Plan”</w:t>
      </w:r>
      <w:r>
        <w:rPr/>
        <w:t>). During the year ended March 31, 2023, the Company</w:t>
      </w:r>
      <w:r>
        <w:rPr>
          <w:spacing w:val="1"/>
        </w:rPr>
        <w:t> </w:t>
      </w:r>
      <w:r>
        <w:rPr/>
        <w:t>granted</w:t>
      </w:r>
      <w:r>
        <w:rPr>
          <w:spacing w:val="-9"/>
        </w:rPr>
        <w:t> </w:t>
      </w:r>
      <w:r>
        <w:rPr/>
        <w:t>11,000</w:t>
      </w:r>
      <w:r>
        <w:rPr>
          <w:spacing w:val="-8"/>
        </w:rPr>
        <w:t> </w:t>
      </w:r>
      <w:r>
        <w:rPr/>
        <w:t>RSUs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issued</w:t>
      </w:r>
      <w:r>
        <w:rPr>
          <w:spacing w:val="-9"/>
        </w:rPr>
        <w:t> </w:t>
      </w:r>
      <w:r>
        <w:rPr/>
        <w:t>221,975</w:t>
      </w:r>
      <w:r>
        <w:rPr>
          <w:spacing w:val="-8"/>
        </w:rPr>
        <w:t> </w:t>
      </w:r>
      <w:r>
        <w:rPr/>
        <w:t>Common</w:t>
      </w:r>
      <w:r>
        <w:rPr>
          <w:spacing w:val="-7"/>
        </w:rPr>
        <w:t> </w:t>
      </w:r>
      <w:r>
        <w:rPr/>
        <w:t>Shares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issued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settlement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vested</w:t>
      </w:r>
      <w:r>
        <w:rPr>
          <w:spacing w:val="-8"/>
        </w:rPr>
        <w:t> </w:t>
      </w:r>
      <w:r>
        <w:rPr/>
        <w:t>RSUs.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37"/>
        <w:jc w:val="both"/>
      </w:pPr>
      <w:r>
        <w:rPr/>
        <w:t>As of the date of this MD&amp;A, there are 1,267 RSUs issued and outstanding under the RSU Plan. Each</w:t>
      </w:r>
      <w:r>
        <w:rPr>
          <w:spacing w:val="-59"/>
        </w:rPr>
        <w:t> </w:t>
      </w:r>
      <w:r>
        <w:rPr/>
        <w:t>RSU</w:t>
      </w:r>
      <w:r>
        <w:rPr>
          <w:spacing w:val="-4"/>
        </w:rPr>
        <w:t> </w:t>
      </w:r>
      <w:r>
        <w:rPr/>
        <w:t>entitles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holder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cash</w:t>
      </w:r>
      <w:r>
        <w:rPr>
          <w:spacing w:val="-6"/>
        </w:rPr>
        <w:t> </w:t>
      </w:r>
      <w:r>
        <w:rPr/>
        <w:t>payment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(1)</w:t>
      </w:r>
      <w:r>
        <w:rPr>
          <w:spacing w:val="-5"/>
        </w:rPr>
        <w:t> </w:t>
      </w:r>
      <w:r>
        <w:rPr/>
        <w:t>Common</w:t>
      </w:r>
      <w:r>
        <w:rPr>
          <w:spacing w:val="-6"/>
        </w:rPr>
        <w:t> </w:t>
      </w:r>
      <w:r>
        <w:rPr/>
        <w:t>Share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discretion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59"/>
        </w:rPr>
        <w:t> </w:t>
      </w:r>
      <w:r>
        <w:rPr/>
        <w:t>in accordance with the terms of the RSU Plan. Each outstanding RSU has a term of one year of which</w:t>
      </w:r>
      <w:r>
        <w:rPr>
          <w:spacing w:val="-59"/>
        </w:rPr>
        <w:t> </w:t>
      </w:r>
      <w:r>
        <w:rPr/>
        <w:t>one quarter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RSUs</w:t>
      </w:r>
      <w:r>
        <w:rPr>
          <w:spacing w:val="-2"/>
        </w:rPr>
        <w:t> </w:t>
      </w:r>
      <w:r>
        <w:rPr/>
        <w:t>will vest</w:t>
      </w:r>
      <w:r>
        <w:rPr>
          <w:spacing w:val="1"/>
        </w:rPr>
        <w:t> </w:t>
      </w:r>
      <w:r>
        <w:rPr/>
        <w:t>every</w:t>
      </w:r>
      <w:r>
        <w:rPr>
          <w:spacing w:val="-4"/>
        </w:rPr>
        <w:t> </w:t>
      </w:r>
      <w:r>
        <w:rPr/>
        <w:t>three</w:t>
      </w:r>
      <w:r>
        <w:rPr>
          <w:spacing w:val="-2"/>
        </w:rPr>
        <w:t> </w:t>
      </w:r>
      <w:r>
        <w:rPr/>
        <w:t>months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grant.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/>
        <w:jc w:val="both"/>
      </w:pPr>
      <w:r>
        <w:rPr>
          <w:u w:val="single"/>
        </w:rPr>
        <w:t>Performance</w:t>
      </w:r>
      <w:r>
        <w:rPr>
          <w:spacing w:val="-3"/>
          <w:u w:val="single"/>
        </w:rPr>
        <w:t> </w:t>
      </w:r>
      <w:r>
        <w:rPr>
          <w:u w:val="single"/>
        </w:rPr>
        <w:t>Share</w:t>
      </w:r>
      <w:r>
        <w:rPr>
          <w:spacing w:val="-3"/>
          <w:u w:val="single"/>
        </w:rPr>
        <w:t> </w:t>
      </w:r>
      <w:r>
        <w:rPr>
          <w:u w:val="single"/>
        </w:rPr>
        <w:t>Units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3"/>
        <w:ind w:left="116" w:right="139"/>
        <w:jc w:val="both"/>
      </w:pPr>
      <w:r>
        <w:rPr/>
        <w:t>Performance Share Units (“</w:t>
      </w:r>
      <w:r>
        <w:rPr>
          <w:rFonts w:ascii="Arial" w:hAnsi="Arial"/>
          <w:b/>
        </w:rPr>
        <w:t>PSUs</w:t>
      </w:r>
      <w:r>
        <w:rPr/>
        <w:t>”) are granted by the Board to eligible persons pursuant to the</w:t>
      </w:r>
      <w:r>
        <w:rPr>
          <w:spacing w:val="1"/>
        </w:rPr>
        <w:t> </w:t>
      </w:r>
      <w:r>
        <w:rPr/>
        <w:t>Company’s performance</w:t>
      </w:r>
      <w:r>
        <w:rPr>
          <w:spacing w:val="-2"/>
        </w:rPr>
        <w:t> </w:t>
      </w:r>
      <w:r>
        <w:rPr/>
        <w:t>share</w:t>
      </w:r>
      <w:r>
        <w:rPr>
          <w:spacing w:val="-2"/>
        </w:rPr>
        <w:t> </w:t>
      </w:r>
      <w:r>
        <w:rPr/>
        <w:t>unit</w:t>
      </w:r>
      <w:r>
        <w:rPr>
          <w:spacing w:val="2"/>
        </w:rPr>
        <w:t> </w:t>
      </w:r>
      <w:r>
        <w:rPr/>
        <w:t>plan</w:t>
      </w:r>
      <w:r>
        <w:rPr>
          <w:spacing w:val="-2"/>
        </w:rPr>
        <w:t> </w:t>
      </w:r>
      <w:r>
        <w:rPr/>
        <w:t>(the</w:t>
      </w:r>
      <w:r>
        <w:rPr>
          <w:spacing w:val="-3"/>
        </w:rPr>
        <w:t> </w:t>
      </w:r>
      <w:r>
        <w:rPr/>
        <w:t>“</w:t>
      </w:r>
      <w:r>
        <w:rPr>
          <w:rFonts w:ascii="Arial" w:hAnsi="Arial"/>
          <w:b/>
        </w:rPr>
        <w:t>PSU Plan</w:t>
      </w:r>
      <w:r>
        <w:rPr/>
        <w:t>”).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8"/>
        <w:jc w:val="both"/>
      </w:pPr>
      <w:r>
        <w:rPr/>
        <w:t>As of the date of this MD&amp;A, there are 250 PSUs issued and outstanding under the PSU Plan. Each</w:t>
      </w:r>
      <w:r>
        <w:rPr>
          <w:spacing w:val="1"/>
        </w:rPr>
        <w:t> </w:t>
      </w:r>
      <w:r>
        <w:rPr/>
        <w:t>PSU</w:t>
      </w:r>
      <w:r>
        <w:rPr>
          <w:spacing w:val="-5"/>
        </w:rPr>
        <w:t> </w:t>
      </w:r>
      <w:r>
        <w:rPr/>
        <w:t>entitles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holder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cash</w:t>
      </w:r>
      <w:r>
        <w:rPr>
          <w:spacing w:val="-3"/>
        </w:rPr>
        <w:t> </w:t>
      </w:r>
      <w:r>
        <w:rPr/>
        <w:t>payment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(1)</w:t>
      </w:r>
      <w:r>
        <w:rPr>
          <w:spacing w:val="-2"/>
        </w:rPr>
        <w:t> </w:t>
      </w:r>
      <w:r>
        <w:rPr/>
        <w:t>Common</w:t>
      </w:r>
      <w:r>
        <w:rPr>
          <w:spacing w:val="-3"/>
        </w:rPr>
        <w:t> </w:t>
      </w:r>
      <w:r>
        <w:rPr/>
        <w:t>Share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discretion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59"/>
        </w:rPr>
        <w:t> </w:t>
      </w:r>
      <w:r>
        <w:rPr/>
        <w:t>in accordance with the terms of the grants and of the PSU Plan. Each outstanding PSU has a term of</w:t>
      </w:r>
      <w:r>
        <w:rPr>
          <w:spacing w:val="1"/>
        </w:rPr>
        <w:t> </w:t>
      </w:r>
      <w:r>
        <w:rPr/>
        <w:t>one year and will vest as to one third every four months from the date of grant, subject to the</w:t>
      </w:r>
      <w:r>
        <w:rPr>
          <w:spacing w:val="1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certain performance</w:t>
      </w:r>
      <w:r>
        <w:rPr>
          <w:spacing w:val="-4"/>
        </w:rPr>
        <w:t> </w:t>
      </w:r>
      <w:r>
        <w:rPr/>
        <w:t>metrics</w:t>
      </w:r>
      <w:r>
        <w:rPr>
          <w:spacing w:val="1"/>
        </w:rPr>
        <w:t> </w:t>
      </w:r>
      <w:r>
        <w:rPr/>
        <w:t>related to</w:t>
      </w:r>
      <w:r>
        <w:rPr>
          <w:spacing w:val="-2"/>
        </w:rPr>
        <w:t> </w:t>
      </w:r>
      <w:r>
        <w:rPr/>
        <w:t>gross</w:t>
      </w:r>
      <w:r>
        <w:rPr>
          <w:spacing w:val="-3"/>
        </w:rPr>
        <w:t> </w:t>
      </w:r>
      <w:r>
        <w:rPr/>
        <w:t>sales.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1"/>
        <w:jc w:val="both"/>
      </w:pPr>
      <w:r>
        <w:rPr>
          <w:rFonts w:ascii="Arial MT"/>
          <w:b w:val="0"/>
          <w:spacing w:val="-1"/>
        </w:rPr>
        <w:t>.</w:t>
      </w:r>
      <w:r>
        <w:rPr>
          <w:spacing w:val="-1"/>
        </w:rPr>
        <w:t>OUTLOOK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CAPITAL</w:t>
      </w:r>
      <w:r>
        <w:rPr>
          <w:spacing w:val="-11"/>
        </w:rPr>
        <w:t> </w:t>
      </w:r>
      <w:r>
        <w:rPr/>
        <w:t>REQUIREMENTS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/>
        <w:jc w:val="both"/>
      </w:pPr>
      <w:r>
        <w:rPr/>
        <w:t>There are no</w:t>
      </w:r>
      <w:r>
        <w:rPr>
          <w:spacing w:val="-3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plans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raise additional</w:t>
      </w:r>
      <w:r>
        <w:rPr>
          <w:spacing w:val="-4"/>
        </w:rPr>
        <w:t> </w:t>
      </w:r>
      <w:r>
        <w:rPr/>
        <w:t>capital.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jc w:val="both"/>
      </w:pPr>
      <w:r>
        <w:rPr>
          <w:spacing w:val="-1"/>
        </w:rPr>
        <w:t>TRANSACTIONS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PARTIES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 w:right="135"/>
        <w:jc w:val="both"/>
      </w:pPr>
      <w:r>
        <w:rPr/>
        <w:t>Related parties include key management personnel and the entities controlled or directed by key</w:t>
      </w:r>
      <w:r>
        <w:rPr>
          <w:spacing w:val="1"/>
        </w:rPr>
        <w:t> </w:t>
      </w:r>
      <w:r>
        <w:rPr/>
        <w:t>management personnel. Key management personnel include the Board and key executives of the</w:t>
      </w:r>
      <w:r>
        <w:rPr>
          <w:spacing w:val="1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responsible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outsourced</w:t>
      </w:r>
      <w:r>
        <w:rPr>
          <w:spacing w:val="-12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who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opinion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9"/>
        </w:rPr>
        <w:t> </w:t>
      </w:r>
      <w:r>
        <w:rPr/>
        <w:t>Company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considered,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applicable</w:t>
      </w:r>
      <w:r>
        <w:rPr>
          <w:spacing w:val="-4"/>
        </w:rPr>
        <w:t> </w:t>
      </w:r>
      <w:r>
        <w:rPr/>
        <w:t>accounting</w:t>
      </w:r>
      <w:r>
        <w:rPr>
          <w:spacing w:val="-4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date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issuance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8"/>
        </w:rPr>
        <w:t> </w:t>
      </w:r>
      <w:r>
        <w:rPr/>
        <w:t>consolidated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statements.</w:t>
      </w:r>
      <w:r>
        <w:rPr>
          <w:spacing w:val="-2"/>
        </w:rPr>
        <w:t> </w:t>
      </w:r>
      <w:r>
        <w:rPr/>
        <w:t>Transactions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parties</w:t>
      </w:r>
      <w:r>
        <w:rPr>
          <w:spacing w:val="-1"/>
        </w:rPr>
        <w:t> </w:t>
      </w:r>
      <w:r>
        <w:rPr/>
        <w:t>are as follows: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5"/>
        <w:gridCol w:w="2907"/>
        <w:gridCol w:w="1825"/>
      </w:tblGrid>
      <w:tr>
        <w:trPr>
          <w:trHeight w:val="251" w:hRule="atLeast"/>
        </w:trPr>
        <w:tc>
          <w:tcPr>
            <w:tcW w:w="4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7" w:type="dxa"/>
          </w:tcPr>
          <w:p>
            <w:pPr>
              <w:pStyle w:val="TableParagraph"/>
              <w:spacing w:line="232" w:lineRule="exact"/>
              <w:ind w:left="1136" w:right="1034"/>
              <w:jc w:val="center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  <w:tc>
          <w:tcPr>
            <w:tcW w:w="1825" w:type="dxa"/>
          </w:tcPr>
          <w:p>
            <w:pPr>
              <w:pStyle w:val="TableParagraph"/>
              <w:spacing w:line="232" w:lineRule="exact"/>
              <w:ind w:left="592"/>
              <w:rPr>
                <w:sz w:val="22"/>
              </w:rPr>
            </w:pPr>
            <w:r>
              <w:rPr>
                <w:sz w:val="22"/>
              </w:rPr>
              <w:t>31-Mar</w:t>
            </w:r>
          </w:p>
        </w:tc>
      </w:tr>
      <w:tr>
        <w:trPr>
          <w:trHeight w:val="389" w:hRule="atLeast"/>
        </w:trPr>
        <w:tc>
          <w:tcPr>
            <w:tcW w:w="43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07" w:type="dxa"/>
          </w:tcPr>
          <w:p>
            <w:pPr>
              <w:pStyle w:val="TableParagraph"/>
              <w:tabs>
                <w:tab w:pos="938" w:val="left" w:leader="none"/>
                <w:tab w:pos="3281" w:val="left" w:leader="none"/>
              </w:tabs>
              <w:spacing w:line="252" w:lineRule="exact"/>
              <w:ind w:right="-706"/>
              <w:jc w:val="righ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2023</w:t>
              <w:tab/>
            </w:r>
          </w:p>
        </w:tc>
        <w:tc>
          <w:tcPr>
            <w:tcW w:w="1825" w:type="dxa"/>
          </w:tcPr>
          <w:p>
            <w:pPr>
              <w:pStyle w:val="TableParagraph"/>
              <w:tabs>
                <w:tab w:pos="1314" w:val="left" w:leader="none"/>
              </w:tabs>
              <w:spacing w:line="252" w:lineRule="exact"/>
              <w:ind w:right="-188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2022</w:t>
              <w:tab/>
            </w:r>
          </w:p>
        </w:tc>
      </w:tr>
      <w:tr>
        <w:trPr>
          <w:trHeight w:val="389" w:hRule="atLeast"/>
        </w:trPr>
        <w:tc>
          <w:tcPr>
            <w:tcW w:w="4375" w:type="dxa"/>
          </w:tcPr>
          <w:p>
            <w:pPr>
              <w:pStyle w:val="TableParagraph"/>
              <w:spacing w:line="215" w:lineRule="exact" w:before="154"/>
              <w:ind w:left="200"/>
              <w:rPr>
                <w:sz w:val="20"/>
              </w:rPr>
            </w:pPr>
            <w:r>
              <w:rPr>
                <w:sz w:val="20"/>
              </w:rPr>
              <w:t>Salaries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benefit</w:t>
            </w:r>
          </w:p>
        </w:tc>
        <w:tc>
          <w:tcPr>
            <w:tcW w:w="2907" w:type="dxa"/>
          </w:tcPr>
          <w:p>
            <w:pPr>
              <w:pStyle w:val="TableParagraph"/>
              <w:spacing w:line="215" w:lineRule="exact" w:before="154"/>
              <w:ind w:left="1665"/>
              <w:rPr>
                <w:sz w:val="20"/>
              </w:rPr>
            </w:pPr>
            <w:r>
              <w:rPr>
                <w:sz w:val="20"/>
              </w:rPr>
              <w:t>109,962</w:t>
            </w:r>
          </w:p>
        </w:tc>
        <w:tc>
          <w:tcPr>
            <w:tcW w:w="1825" w:type="dxa"/>
          </w:tcPr>
          <w:p>
            <w:pPr>
              <w:pStyle w:val="TableParagraph"/>
              <w:spacing w:line="238" w:lineRule="exact" w:before="131"/>
              <w:ind w:left="705"/>
              <w:rPr>
                <w:sz w:val="22"/>
              </w:rPr>
            </w:pPr>
            <w:r>
              <w:rPr>
                <w:sz w:val="22"/>
              </w:rPr>
              <w:t>106,0667</w:t>
            </w:r>
          </w:p>
        </w:tc>
      </w:tr>
      <w:tr>
        <w:trPr>
          <w:trHeight w:val="255" w:hRule="atLeast"/>
        </w:trPr>
        <w:tc>
          <w:tcPr>
            <w:tcW w:w="4375" w:type="dxa"/>
          </w:tcPr>
          <w:p>
            <w:pPr>
              <w:pStyle w:val="TableParagraph"/>
              <w:spacing w:line="236" w:lineRule="exact"/>
              <w:ind w:left="200"/>
              <w:rPr>
                <w:sz w:val="22"/>
              </w:rPr>
            </w:pPr>
            <w:r>
              <w:rPr>
                <w:sz w:val="22"/>
              </w:rPr>
              <w:t>Consulting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2907" w:type="dxa"/>
          </w:tcPr>
          <w:p>
            <w:pPr>
              <w:pStyle w:val="TableParagraph"/>
              <w:spacing w:line="214" w:lineRule="exact" w:before="22"/>
              <w:ind w:left="1665"/>
              <w:rPr>
                <w:sz w:val="20"/>
              </w:rPr>
            </w:pPr>
            <w:r>
              <w:rPr>
                <w:sz w:val="20"/>
              </w:rPr>
              <w:t>521,542</w:t>
            </w:r>
          </w:p>
        </w:tc>
        <w:tc>
          <w:tcPr>
            <w:tcW w:w="1825" w:type="dxa"/>
          </w:tcPr>
          <w:p>
            <w:pPr>
              <w:pStyle w:val="TableParagraph"/>
              <w:spacing w:line="236" w:lineRule="exact"/>
              <w:ind w:left="827"/>
              <w:rPr>
                <w:sz w:val="22"/>
              </w:rPr>
            </w:pPr>
            <w:r>
              <w:rPr>
                <w:sz w:val="22"/>
              </w:rPr>
              <w:t>906,007</w:t>
            </w:r>
          </w:p>
        </w:tc>
      </w:tr>
      <w:tr>
        <w:trPr>
          <w:trHeight w:val="256" w:hRule="atLeast"/>
        </w:trPr>
        <w:tc>
          <w:tcPr>
            <w:tcW w:w="4375" w:type="dxa"/>
          </w:tcPr>
          <w:p>
            <w:pPr>
              <w:pStyle w:val="TableParagraph"/>
              <w:spacing w:line="237" w:lineRule="exact"/>
              <w:ind w:left="200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expenses</w:t>
            </w:r>
          </w:p>
        </w:tc>
        <w:tc>
          <w:tcPr>
            <w:tcW w:w="2907" w:type="dxa"/>
          </w:tcPr>
          <w:p>
            <w:pPr>
              <w:pStyle w:val="TableParagraph"/>
              <w:spacing w:line="216" w:lineRule="exact" w:before="21"/>
              <w:ind w:left="1497"/>
              <w:rPr>
                <w:sz w:val="20"/>
              </w:rPr>
            </w:pPr>
            <w:r>
              <w:rPr>
                <w:sz w:val="20"/>
              </w:rPr>
              <w:t>1,077,474</w:t>
            </w:r>
          </w:p>
        </w:tc>
        <w:tc>
          <w:tcPr>
            <w:tcW w:w="1825" w:type="dxa"/>
          </w:tcPr>
          <w:p>
            <w:pPr>
              <w:pStyle w:val="TableParagraph"/>
              <w:spacing w:line="237" w:lineRule="exact"/>
              <w:ind w:left="520"/>
              <w:rPr>
                <w:sz w:val="22"/>
              </w:rPr>
            </w:pPr>
            <w:r>
              <w:rPr>
                <w:sz w:val="22"/>
              </w:rPr>
              <w:t>1,106,0491</w:t>
            </w:r>
          </w:p>
        </w:tc>
      </w:tr>
      <w:tr>
        <w:trPr>
          <w:trHeight w:val="261" w:hRule="atLeast"/>
        </w:trPr>
        <w:tc>
          <w:tcPr>
            <w:tcW w:w="4375" w:type="dxa"/>
          </w:tcPr>
          <w:p>
            <w:pPr>
              <w:pStyle w:val="TableParagraph"/>
              <w:spacing w:line="242" w:lineRule="exact"/>
              <w:ind w:left="200"/>
              <w:rPr>
                <w:sz w:val="22"/>
              </w:rPr>
            </w:pPr>
            <w:r>
              <w:rPr>
                <w:sz w:val="22"/>
              </w:rPr>
              <w:t>Share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compensation</w:t>
            </w:r>
          </w:p>
        </w:tc>
        <w:tc>
          <w:tcPr>
            <w:tcW w:w="2907" w:type="dxa"/>
          </w:tcPr>
          <w:p>
            <w:pPr>
              <w:pStyle w:val="TableParagraph"/>
              <w:tabs>
                <w:tab w:pos="1344" w:val="left" w:leader="none"/>
                <w:tab w:pos="3228" w:val="left" w:leader="none"/>
              </w:tabs>
              <w:spacing w:line="221" w:lineRule="exact" w:before="21"/>
              <w:ind w:right="-648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>104,751</w:t>
              <w:tab/>
            </w:r>
          </w:p>
        </w:tc>
        <w:tc>
          <w:tcPr>
            <w:tcW w:w="1825" w:type="dxa"/>
          </w:tcPr>
          <w:p>
            <w:pPr>
              <w:pStyle w:val="TableParagraph"/>
              <w:tabs>
                <w:tab w:pos="1367" w:val="left" w:leader="none"/>
              </w:tabs>
              <w:spacing w:line="242" w:lineRule="exact"/>
              <w:ind w:right="-188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3,911,663</w:t>
              <w:tab/>
            </w:r>
          </w:p>
        </w:tc>
      </w:tr>
      <w:tr>
        <w:trPr>
          <w:trHeight w:val="255" w:hRule="atLeast"/>
        </w:trPr>
        <w:tc>
          <w:tcPr>
            <w:tcW w:w="43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7" w:type="dxa"/>
          </w:tcPr>
          <w:p>
            <w:pPr>
              <w:pStyle w:val="TableParagraph"/>
              <w:tabs>
                <w:tab w:pos="1188" w:val="left" w:leader="none"/>
                <w:tab w:pos="3243" w:val="left" w:leader="none"/>
              </w:tabs>
              <w:spacing w:line="222" w:lineRule="exact" w:before="13"/>
              <w:ind w:right="-648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>1,813,729</w:t>
              <w:tab/>
            </w:r>
          </w:p>
        </w:tc>
        <w:tc>
          <w:tcPr>
            <w:tcW w:w="1825" w:type="dxa"/>
          </w:tcPr>
          <w:p>
            <w:pPr>
              <w:pStyle w:val="TableParagraph"/>
              <w:tabs>
                <w:tab w:pos="1367" w:val="left" w:leader="none"/>
              </w:tabs>
              <w:spacing w:line="233" w:lineRule="exact" w:before="2"/>
              <w:ind w:right="-188"/>
              <w:jc w:val="right"/>
              <w:rPr>
                <w:sz w:val="22"/>
              </w:rPr>
            </w:pPr>
            <w:r>
              <w:rPr>
                <w:sz w:val="22"/>
                <w:u w:val="single"/>
              </w:rPr>
              <w:t>6,030,828</w:t>
              <w:tab/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1952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4"/>
      </w:pPr>
      <w:r>
        <w:rPr/>
        <w:t>OFF-BALANCE</w:t>
      </w:r>
      <w:r>
        <w:rPr>
          <w:spacing w:val="-15"/>
        </w:rPr>
        <w:t> </w:t>
      </w:r>
      <w:r>
        <w:rPr/>
        <w:t>SHEET</w:t>
      </w:r>
      <w:r>
        <w:rPr>
          <w:spacing w:val="-15"/>
        </w:rPr>
        <w:t> </w:t>
      </w:r>
      <w:r>
        <w:rPr/>
        <w:t>ARRANGEMENTS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/>
      </w:pP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entered</w:t>
      </w:r>
      <w:r>
        <w:rPr>
          <w:spacing w:val="-2"/>
        </w:rPr>
        <w:t> </w:t>
      </w:r>
      <w:r>
        <w:rPr/>
        <w:t>any off-balance</w:t>
      </w:r>
      <w:r>
        <w:rPr>
          <w:spacing w:val="-2"/>
        </w:rPr>
        <w:t> </w:t>
      </w:r>
      <w:r>
        <w:rPr/>
        <w:t>sheet arrangements.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/>
        <w:t>SUBSEQUENT</w:t>
      </w:r>
      <w:r>
        <w:rPr>
          <w:spacing w:val="-12"/>
        </w:rPr>
        <w:t> </w:t>
      </w:r>
      <w:r>
        <w:rPr/>
        <w:t>EVENTS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/>
      </w:pPr>
      <w:r>
        <w:rPr/>
        <w:t>There were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subsequent event.</w:t>
      </w:r>
    </w:p>
    <w:p>
      <w:pPr>
        <w:pStyle w:val="BodyText"/>
        <w:spacing w:before="1"/>
        <w:rPr>
          <w:sz w:val="20"/>
        </w:rPr>
      </w:pPr>
    </w:p>
    <w:p>
      <w:pPr>
        <w:spacing w:before="1"/>
        <w:ind w:left="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2"/>
        </w:rPr>
        <w:t>C</w:t>
      </w:r>
      <w:r>
        <w:rPr>
          <w:rFonts w:ascii="Arial"/>
          <w:b/>
          <w:sz w:val="18"/>
        </w:rPr>
        <w:t>ONTINGENCIES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22"/>
        </w:rPr>
        <w:t>C</w:t>
      </w:r>
      <w:r>
        <w:rPr>
          <w:rFonts w:ascii="Arial"/>
          <w:b/>
          <w:sz w:val="18"/>
        </w:rPr>
        <w:t>OMMITMENTS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before="1"/>
        <w:ind w:left="116" w:right="137"/>
        <w:jc w:val="both"/>
      </w:pPr>
      <w:r>
        <w:rPr/>
        <w:t>The Company is one of three parties that has been listed in a claim by the a landlord for breach of a</w:t>
      </w:r>
      <w:r>
        <w:rPr>
          <w:spacing w:val="1"/>
        </w:rPr>
        <w:t> </w:t>
      </w:r>
      <w:r>
        <w:rPr/>
        <w:t>lease in an amount no less than $750,000 for back rent and other charges due, future rent, and other</w:t>
      </w:r>
      <w:r>
        <w:rPr>
          <w:spacing w:val="1"/>
        </w:rPr>
        <w:t> </w:t>
      </w:r>
      <w:r>
        <w:rPr/>
        <w:t>charges</w:t>
      </w:r>
      <w:r>
        <w:rPr>
          <w:spacing w:val="-13"/>
        </w:rPr>
        <w:t> </w:t>
      </w:r>
      <w:r>
        <w:rPr/>
        <w:t>due,</w:t>
      </w:r>
      <w:r>
        <w:rPr>
          <w:spacing w:val="-12"/>
        </w:rPr>
        <w:t> </w:t>
      </w:r>
      <w:r>
        <w:rPr/>
        <w:t>together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accrued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accruing</w:t>
      </w:r>
      <w:r>
        <w:rPr>
          <w:spacing w:val="-11"/>
        </w:rPr>
        <w:t> </w:t>
      </w:r>
      <w:r>
        <w:rPr/>
        <w:t>pre-judgment</w:t>
      </w:r>
      <w:r>
        <w:rPr>
          <w:spacing w:val="-12"/>
        </w:rPr>
        <w:t> </w:t>
      </w:r>
      <w:r>
        <w:rPr/>
        <w:t>interest.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defending</w:t>
      </w:r>
      <w:r>
        <w:rPr>
          <w:spacing w:val="-14"/>
        </w:rPr>
        <w:t> </w:t>
      </w:r>
      <w:r>
        <w:rPr/>
        <w:t>this</w:t>
      </w:r>
      <w:r>
        <w:rPr>
          <w:spacing w:val="-58"/>
        </w:rPr>
        <w:t> </w:t>
      </w:r>
      <w:r>
        <w:rPr/>
        <w:t>claim and has filed a cross-complaint for $4,000,000 as a result of not being able to operate in the</w:t>
      </w:r>
      <w:r>
        <w:rPr>
          <w:spacing w:val="1"/>
        </w:rPr>
        <w:t> </w:t>
      </w:r>
      <w:r>
        <w:rPr/>
        <w:t>location.</w:t>
      </w:r>
    </w:p>
    <w:p>
      <w:pPr>
        <w:pStyle w:val="BodyText"/>
        <w:rPr>
          <w:sz w:val="20"/>
        </w:rPr>
      </w:pPr>
    </w:p>
    <w:p>
      <w:pPr>
        <w:pStyle w:val="Heading1"/>
        <w:spacing w:before="1"/>
      </w:pPr>
      <w:r>
        <w:rPr/>
        <w:t>PROPOSED</w:t>
      </w:r>
      <w:r>
        <w:rPr>
          <w:spacing w:val="-16"/>
        </w:rPr>
        <w:t> </w:t>
      </w:r>
      <w:r>
        <w:rPr/>
        <w:t>TRANSACTIONS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before="1"/>
        <w:ind w:left="116" w:right="143"/>
        <w:jc w:val="both"/>
      </w:pPr>
      <w:r>
        <w:rPr/>
        <w:t>There are no proposed transactions that will materially affect the performance of the Company other</w:t>
      </w:r>
      <w:r>
        <w:rPr>
          <w:spacing w:val="1"/>
        </w:rPr>
        <w:t> </w:t>
      </w:r>
      <w:r>
        <w:rPr/>
        <w:t>than</w:t>
      </w:r>
      <w:r>
        <w:rPr>
          <w:spacing w:val="-3"/>
        </w:rPr>
        <w:t> </w:t>
      </w:r>
      <w:r>
        <w:rPr/>
        <w:t>those disclosed</w:t>
      </w:r>
      <w:r>
        <w:rPr>
          <w:spacing w:val="-2"/>
        </w:rPr>
        <w:t> </w:t>
      </w:r>
      <w:r>
        <w:rPr/>
        <w:t>in this</w:t>
      </w:r>
      <w:r>
        <w:rPr>
          <w:spacing w:val="1"/>
        </w:rPr>
        <w:t> </w:t>
      </w:r>
      <w:r>
        <w:rPr/>
        <w:t>MD&amp;A.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</w:pPr>
      <w:r>
        <w:rPr/>
        <w:t>COMMITMENTS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116" w:right="142" w:firstLine="0"/>
        <w:jc w:val="both"/>
        <w:rPr>
          <w:sz w:val="20"/>
        </w:rPr>
      </w:pPr>
      <w:r>
        <w:rPr>
          <w:sz w:val="22"/>
        </w:rPr>
        <w:t>Company have a commitment to pay against lease assets, </w:t>
      </w:r>
      <w:r>
        <w:rPr>
          <w:sz w:val="20"/>
        </w:rPr>
        <w:t>following schedule lists out the timing of lease</w:t>
      </w:r>
      <w:r>
        <w:rPr>
          <w:spacing w:val="1"/>
          <w:sz w:val="20"/>
        </w:rPr>
        <w:t> </w:t>
      </w:r>
      <w:r>
        <w:rPr>
          <w:sz w:val="20"/>
        </w:rPr>
        <w:t>discounted payments: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2"/>
        <w:gridCol w:w="3970"/>
      </w:tblGrid>
      <w:tr>
        <w:trPr>
          <w:trHeight w:val="229" w:hRule="atLeast"/>
        </w:trPr>
        <w:tc>
          <w:tcPr>
            <w:tcW w:w="5712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0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March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31, 2023</w:t>
            </w:r>
          </w:p>
        </w:tc>
      </w:tr>
      <w:tr>
        <w:trPr>
          <w:trHeight w:val="233" w:hRule="atLeast"/>
        </w:trPr>
        <w:tc>
          <w:tcPr>
            <w:tcW w:w="5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/>
              <w:ind w:left="123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</w:tc>
        <w:tc>
          <w:tcPr>
            <w:tcW w:w="3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637,426</w:t>
            </w:r>
          </w:p>
        </w:tc>
      </w:tr>
      <w:tr>
        <w:trPr>
          <w:trHeight w:val="230" w:hRule="atLeast"/>
        </w:trPr>
        <w:tc>
          <w:tcPr>
            <w:tcW w:w="5712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3970" w:type="dxa"/>
          </w:tcPr>
          <w:p>
            <w:pPr>
              <w:pStyle w:val="TableParagraph"/>
              <w:spacing w:line="210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1,283,851</w:t>
            </w:r>
          </w:p>
        </w:tc>
      </w:tr>
      <w:tr>
        <w:trPr>
          <w:trHeight w:val="230" w:hRule="atLeast"/>
        </w:trPr>
        <w:tc>
          <w:tcPr>
            <w:tcW w:w="5712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3970" w:type="dxa"/>
          </w:tcPr>
          <w:p>
            <w:pPr>
              <w:pStyle w:val="TableParagraph"/>
              <w:spacing w:line="210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1,085,970</w:t>
            </w:r>
          </w:p>
        </w:tc>
      </w:tr>
      <w:tr>
        <w:trPr>
          <w:trHeight w:val="229" w:hRule="atLeast"/>
        </w:trPr>
        <w:tc>
          <w:tcPr>
            <w:tcW w:w="5712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three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3970" w:type="dxa"/>
          </w:tcPr>
          <w:p>
            <w:pPr>
              <w:pStyle w:val="TableParagraph"/>
              <w:spacing w:line="209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756,278</w:t>
            </w:r>
          </w:p>
        </w:tc>
      </w:tr>
      <w:tr>
        <w:trPr>
          <w:trHeight w:val="229" w:hRule="atLeast"/>
        </w:trPr>
        <w:tc>
          <w:tcPr>
            <w:tcW w:w="5712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Between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four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3970" w:type="dxa"/>
          </w:tcPr>
          <w:p>
            <w:pPr>
              <w:pStyle w:val="TableParagraph"/>
              <w:spacing w:line="209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322,766</w:t>
            </w:r>
          </w:p>
        </w:tc>
      </w:tr>
      <w:tr>
        <w:trPr>
          <w:trHeight w:val="227" w:hRule="atLeast"/>
        </w:trPr>
        <w:tc>
          <w:tcPr>
            <w:tcW w:w="5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3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3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2,922,825</w:t>
            </w:r>
          </w:p>
        </w:tc>
      </w:tr>
      <w:tr>
        <w:trPr>
          <w:trHeight w:val="231" w:hRule="atLeast"/>
        </w:trPr>
        <w:tc>
          <w:tcPr>
            <w:tcW w:w="571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0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2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7,009,117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/>
        <w:t>SIGNIFICANT</w:t>
      </w:r>
      <w:r>
        <w:rPr>
          <w:spacing w:val="-14"/>
        </w:rPr>
        <w:t> </w:t>
      </w:r>
      <w:r>
        <w:rPr/>
        <w:t>ACCOUNTING</w:t>
      </w:r>
      <w:r>
        <w:rPr>
          <w:spacing w:val="-14"/>
        </w:rPr>
        <w:t> </w:t>
      </w:r>
      <w:r>
        <w:rPr/>
        <w:t>POLICIES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35"/>
        <w:jc w:val="both"/>
      </w:pPr>
      <w:r>
        <w:rPr/>
        <w:t>The</w:t>
      </w:r>
      <w:r>
        <w:rPr>
          <w:spacing w:val="-11"/>
        </w:rPr>
        <w:t> </w:t>
      </w:r>
      <w:r>
        <w:rPr/>
        <w:t>Company’s</w:t>
      </w:r>
      <w:r>
        <w:rPr>
          <w:spacing w:val="-12"/>
        </w:rPr>
        <w:t> </w:t>
      </w:r>
      <w:r>
        <w:rPr/>
        <w:t>accounting</w:t>
      </w:r>
      <w:r>
        <w:rPr>
          <w:spacing w:val="-10"/>
        </w:rPr>
        <w:t> </w:t>
      </w:r>
      <w:r>
        <w:rPr/>
        <w:t>policies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Note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consolidated</w:t>
      </w:r>
      <w:r>
        <w:rPr>
          <w:spacing w:val="-12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statements</w:t>
      </w:r>
      <w:r>
        <w:rPr>
          <w:spacing w:val="-12"/>
        </w:rPr>
        <w:t> </w:t>
      </w:r>
      <w:r>
        <w:rPr/>
        <w:t>for</w:t>
      </w:r>
      <w:r>
        <w:rPr>
          <w:spacing w:val="-59"/>
        </w:rPr>
        <w:t> </w:t>
      </w:r>
      <w:r>
        <w:rPr/>
        <w:t>the</w:t>
      </w:r>
      <w:r>
        <w:rPr>
          <w:spacing w:val="-13"/>
        </w:rPr>
        <w:t> </w:t>
      </w:r>
      <w:r>
        <w:rPr/>
        <w:t>year</w:t>
      </w:r>
      <w:r>
        <w:rPr>
          <w:spacing w:val="-14"/>
        </w:rPr>
        <w:t> </w:t>
      </w:r>
      <w:r>
        <w:rPr/>
        <w:t>ended</w:t>
      </w:r>
      <w:r>
        <w:rPr>
          <w:spacing w:val="-12"/>
        </w:rPr>
        <w:t> </w:t>
      </w:r>
      <w:r>
        <w:rPr/>
        <w:t>March</w:t>
      </w:r>
      <w:r>
        <w:rPr>
          <w:spacing w:val="-12"/>
        </w:rPr>
        <w:t> </w:t>
      </w:r>
      <w:r>
        <w:rPr/>
        <w:t>31,</w:t>
      </w:r>
      <w:r>
        <w:rPr>
          <w:spacing w:val="-10"/>
        </w:rPr>
        <w:t> </w:t>
      </w:r>
      <w:r>
        <w:rPr/>
        <w:t>2023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audited</w:t>
      </w:r>
      <w:r>
        <w:rPr>
          <w:spacing w:val="-15"/>
        </w:rPr>
        <w:t> </w:t>
      </w:r>
      <w:r>
        <w:rPr/>
        <w:t>consolidated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statements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year</w:t>
      </w:r>
      <w:r>
        <w:rPr>
          <w:spacing w:val="-14"/>
        </w:rPr>
        <w:t> </w:t>
      </w:r>
      <w:r>
        <w:rPr/>
        <w:t>ended</w:t>
      </w:r>
      <w:r>
        <w:rPr>
          <w:spacing w:val="-11"/>
        </w:rPr>
        <w:t> </w:t>
      </w:r>
      <w:r>
        <w:rPr/>
        <w:t>March</w:t>
      </w:r>
      <w:r>
        <w:rPr>
          <w:spacing w:val="-59"/>
        </w:rPr>
        <w:t> </w:t>
      </w:r>
      <w:r>
        <w:rPr/>
        <w:t>31,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16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Future</w:t>
      </w:r>
      <w:r>
        <w:rPr>
          <w:rFonts w:ascii="Arial"/>
          <w:b/>
          <w:i/>
          <w:spacing w:val="-1"/>
          <w:sz w:val="22"/>
        </w:rPr>
        <w:t> </w:t>
      </w:r>
      <w:r>
        <w:rPr>
          <w:rFonts w:ascii="Arial"/>
          <w:b/>
          <w:i/>
          <w:sz w:val="22"/>
        </w:rPr>
        <w:t>accounting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pronouncements</w:t>
      </w:r>
    </w:p>
    <w:p>
      <w:pPr>
        <w:pStyle w:val="BodyText"/>
        <w:spacing w:before="9"/>
        <w:rPr>
          <w:rFonts w:ascii="Arial"/>
          <w:b/>
          <w:i/>
          <w:sz w:val="20"/>
        </w:rPr>
      </w:pPr>
    </w:p>
    <w:p>
      <w:pPr>
        <w:pStyle w:val="BodyText"/>
        <w:ind w:left="116" w:right="141"/>
        <w:jc w:val="both"/>
      </w:pPr>
      <w:r>
        <w:rPr/>
        <w:t>There are no other IFRS or International Financial Reporting Interpretations Committee interpretations</w:t>
      </w:r>
      <w:r>
        <w:rPr>
          <w:spacing w:val="-59"/>
        </w:rPr>
        <w:t> </w:t>
      </w:r>
      <w:r>
        <w:rPr/>
        <w:t>that are not yet effective that are expected to have a material impact on the Company’s consolidated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statements.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2464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94"/>
      </w:pPr>
      <w:r>
        <w:rPr>
          <w:spacing w:val="-1"/>
        </w:rPr>
        <w:t>SIGNIFICANT</w:t>
      </w:r>
      <w:r>
        <w:rPr>
          <w:spacing w:val="-11"/>
        </w:rPr>
        <w:t> </w:t>
      </w:r>
      <w:r>
        <w:rPr/>
        <w:t>ACCOUNTING</w:t>
      </w:r>
      <w:r>
        <w:rPr>
          <w:spacing w:val="-11"/>
        </w:rPr>
        <w:t> </w:t>
      </w:r>
      <w:r>
        <w:rPr/>
        <w:t>ESTIMATES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JUDGEMENTS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/>
        <w:jc w:val="both"/>
      </w:pPr>
      <w:r>
        <w:rPr/>
        <w:t>Significant estimates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assumptions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8"/>
        <w:jc w:val="both"/>
      </w:pPr>
      <w:r>
        <w:rPr/>
        <w:t>The preparation of the financial statements in conformity with IFRS requires management to make</w:t>
      </w:r>
      <w:r>
        <w:rPr>
          <w:spacing w:val="1"/>
        </w:rPr>
        <w:t> </w:t>
      </w:r>
      <w:r>
        <w:rPr/>
        <w:t>certain estimates, judgments and assumptions concerning the future. The Company’s management</w:t>
      </w:r>
      <w:r>
        <w:rPr>
          <w:spacing w:val="1"/>
        </w:rPr>
        <w:t> </w:t>
      </w:r>
      <w:r>
        <w:rPr/>
        <w:t>reviews these estimates and underlying assumptions on an ongoing basis, based on experience and</w:t>
      </w:r>
      <w:r>
        <w:rPr>
          <w:spacing w:val="1"/>
        </w:rPr>
        <w:t> </w:t>
      </w:r>
      <w:r>
        <w:rPr/>
        <w:t>other factors, including expectations of future events that are believed to be reasonable under the</w:t>
      </w:r>
      <w:r>
        <w:rPr>
          <w:spacing w:val="1"/>
        </w:rPr>
        <w:t> </w:t>
      </w:r>
      <w:r>
        <w:rPr/>
        <w:t>circumstances.</w:t>
      </w:r>
      <w:r>
        <w:rPr>
          <w:spacing w:val="1"/>
        </w:rPr>
        <w:t> </w:t>
      </w:r>
      <w:r>
        <w:rPr/>
        <w:t>Revisions to estimates are adjusted for</w:t>
      </w:r>
      <w:r>
        <w:rPr>
          <w:spacing w:val="1"/>
        </w:rPr>
        <w:t> </w:t>
      </w:r>
      <w:r>
        <w:rPr/>
        <w:t>prospectively in the period in which the</w:t>
      </w:r>
      <w:r>
        <w:rPr>
          <w:spacing w:val="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revised.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42"/>
        <w:jc w:val="both"/>
      </w:pPr>
      <w:r>
        <w:rPr/>
        <w:t>Estimates and assumptions where there is significant risk of material adjustments to assets and</w:t>
      </w:r>
      <w:r>
        <w:rPr>
          <w:spacing w:val="1"/>
        </w:rPr>
        <w:t> </w:t>
      </w:r>
      <w:r>
        <w:rPr/>
        <w:t>liabilities</w:t>
      </w:r>
      <w:r>
        <w:rPr>
          <w:spacing w:val="-1"/>
        </w:rPr>
        <w:t> </w:t>
      </w:r>
      <w:r>
        <w:rPr/>
        <w:t>in future accounting period include: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Deferred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taxes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ind w:left="116" w:right="139"/>
        <w:jc w:val="both"/>
      </w:pPr>
      <w:r>
        <w:rPr/>
        <w:t>The determination of income tax expense and deferred tax involves judgment and estimates as to 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taxable</w:t>
      </w:r>
      <w:r>
        <w:rPr>
          <w:spacing w:val="1"/>
        </w:rPr>
        <w:t> </w:t>
      </w:r>
      <w:r>
        <w:rPr/>
        <w:t>earnings,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reversals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deferred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liabilities,</w:t>
      </w:r>
      <w:r>
        <w:rPr>
          <w:spacing w:val="1"/>
        </w:rPr>
        <w:t> </w:t>
      </w:r>
      <w:r>
        <w:rPr/>
        <w:t>and</w:t>
      </w:r>
      <w:r>
        <w:rPr>
          <w:spacing w:val="-59"/>
        </w:rPr>
        <w:t> </w:t>
      </w:r>
      <w:r>
        <w:rPr/>
        <w:t>interpretations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tax</w:t>
      </w:r>
      <w:r>
        <w:rPr>
          <w:spacing w:val="-15"/>
        </w:rPr>
        <w:t> </w:t>
      </w:r>
      <w:r>
        <w:rPr/>
        <w:t>laws.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subject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assessments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tax</w:t>
      </w:r>
      <w:r>
        <w:rPr>
          <w:spacing w:val="-15"/>
        </w:rPr>
        <w:t> </w:t>
      </w:r>
      <w:r>
        <w:rPr/>
        <w:t>authorities</w:t>
      </w:r>
      <w:r>
        <w:rPr>
          <w:spacing w:val="-12"/>
        </w:rPr>
        <w:t> </w:t>
      </w:r>
      <w:r>
        <w:rPr/>
        <w:t>who</w:t>
      </w:r>
      <w:r>
        <w:rPr>
          <w:spacing w:val="-15"/>
        </w:rPr>
        <w:t> </w:t>
      </w:r>
      <w:r>
        <w:rPr/>
        <w:t>may</w:t>
      </w:r>
      <w:r>
        <w:rPr>
          <w:spacing w:val="-12"/>
        </w:rPr>
        <w:t> </w:t>
      </w:r>
      <w:r>
        <w:rPr/>
        <w:t>interpret</w:t>
      </w:r>
      <w:r>
        <w:rPr>
          <w:spacing w:val="-58"/>
        </w:rPr>
        <w:t> </w:t>
      </w:r>
      <w:r>
        <w:rPr/>
        <w:t>the tax law differently. Changes in these estimates may materially affect the final amount of deferred</w:t>
      </w:r>
      <w:r>
        <w:rPr>
          <w:spacing w:val="1"/>
        </w:rPr>
        <w:t> </w:t>
      </w:r>
      <w:r>
        <w:rPr/>
        <w:t>taxes 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payments.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Estimated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useful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lives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and depreciation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intangible assets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BodyText"/>
        <w:ind w:left="116" w:right="140"/>
        <w:jc w:val="both"/>
      </w:pPr>
      <w:r>
        <w:rPr/>
        <w:t>Depreciation of finite-life intangible assets is dependent upon estimates of useful lives, which are</w:t>
      </w:r>
      <w:r>
        <w:rPr>
          <w:spacing w:val="1"/>
        </w:rPr>
        <w:t> </w:t>
      </w:r>
      <w:r>
        <w:rPr/>
        <w:t>determined through the exercise of judgment. The assessment of any impairment of these assets is</w:t>
      </w:r>
      <w:r>
        <w:rPr>
          <w:spacing w:val="1"/>
        </w:rPr>
        <w:t> </w:t>
      </w:r>
      <w:r>
        <w:rPr/>
        <w:t>dependent upon estimates of recoverable amounts that take into account factors such as economic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market</w:t>
      </w:r>
      <w:r>
        <w:rPr>
          <w:spacing w:val="-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useful</w:t>
      </w:r>
      <w:r>
        <w:rPr>
          <w:spacing w:val="-3"/>
        </w:rPr>
        <w:t> </w:t>
      </w:r>
      <w:r>
        <w:rPr/>
        <w:t>lives of assets.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>
          <w:spacing w:val="-1"/>
        </w:rPr>
        <w:t>MANAGEMENT’S</w:t>
      </w:r>
      <w:r>
        <w:rPr>
          <w:spacing w:val="-13"/>
        </w:rPr>
        <w:t> </w:t>
      </w:r>
      <w:r>
        <w:rPr/>
        <w:t>RESPONSIBILITY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INFORMATION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41"/>
        <w:jc w:val="both"/>
      </w:pPr>
      <w:r>
        <w:rPr/>
        <w:t>The Company’s financial statements and the other financial information included in this management</w:t>
      </w:r>
      <w:r>
        <w:rPr>
          <w:spacing w:val="1"/>
        </w:rPr>
        <w:t> </w:t>
      </w:r>
      <w:r>
        <w:rPr/>
        <w:t>report are the responsibility of the Company’s management, and have been examined and approved</w:t>
      </w:r>
      <w:r>
        <w:rPr>
          <w:spacing w:val="1"/>
        </w:rPr>
        <w:t> </w:t>
      </w:r>
      <w:r>
        <w:rPr/>
        <w:t>by the Board. The financial statements were prepared by management in accordance with generally</w:t>
      </w:r>
      <w:r>
        <w:rPr>
          <w:spacing w:val="1"/>
        </w:rPr>
        <w:t> </w:t>
      </w:r>
      <w:r>
        <w:rPr/>
        <w:t>accepted.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7"/>
        <w:jc w:val="both"/>
      </w:pPr>
      <w:r>
        <w:rPr/>
        <w:t>Canadian accounting principles and include certain amounts based on management’s best estimates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judgment.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management’s</w:t>
      </w:r>
      <w:r>
        <w:rPr>
          <w:spacing w:val="1"/>
        </w:rPr>
        <w:t> </w:t>
      </w:r>
      <w:r>
        <w:rPr/>
        <w:t>responsibility.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 w:right="143"/>
        <w:jc w:val="both"/>
      </w:pPr>
      <w:r>
        <w:rPr/>
        <w:t>Management recognizes its responsibility for conducting the Company’s affairs in a manner to comply</w:t>
      </w:r>
      <w:r>
        <w:rPr>
          <w:spacing w:val="-59"/>
        </w:rPr>
        <w:t> </w:t>
      </w:r>
      <w:r>
        <w:rPr/>
        <w:t>with the requirements of applicable laws and established financial standards and principles, and for</w:t>
      </w:r>
      <w:r>
        <w:rPr>
          <w:spacing w:val="1"/>
        </w:rPr>
        <w:t> </w:t>
      </w:r>
      <w:r>
        <w:rPr/>
        <w:t>maintaining</w:t>
      </w:r>
      <w:r>
        <w:rPr>
          <w:spacing w:val="-1"/>
        </w:rPr>
        <w:t> </w:t>
      </w:r>
      <w:r>
        <w:rPr/>
        <w:t>proper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42"/>
        <w:jc w:val="both"/>
      </w:pPr>
      <w:r>
        <w:rPr/>
        <w:t>The Board supervises the financial statements and other financial information through the Audit</w:t>
      </w:r>
      <w:r>
        <w:rPr>
          <w:spacing w:val="1"/>
        </w:rPr>
        <w:t> </w:t>
      </w:r>
      <w:r>
        <w:rPr/>
        <w:t>Committee,</w:t>
      </w:r>
      <w:r>
        <w:rPr>
          <w:spacing w:val="-2"/>
        </w:rPr>
        <w:t> </w:t>
      </w:r>
      <w:r>
        <w:rPr/>
        <w:t>which is</w:t>
      </w:r>
      <w:r>
        <w:rPr>
          <w:spacing w:val="-2"/>
        </w:rPr>
        <w:t> </w:t>
      </w:r>
      <w:r>
        <w:rPr/>
        <w:t>composed 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non-management</w:t>
      </w:r>
      <w:r>
        <w:rPr>
          <w:spacing w:val="-1"/>
        </w:rPr>
        <w:t> </w:t>
      </w:r>
      <w:r>
        <w:rPr/>
        <w:t>directors.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2976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6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Audit</w:t>
      </w:r>
      <w:r>
        <w:rPr>
          <w:spacing w:val="-11"/>
        </w:rPr>
        <w:t> </w:t>
      </w:r>
      <w:r>
        <w:rPr/>
        <w:t>Committee’s</w:t>
      </w:r>
      <w:r>
        <w:rPr>
          <w:spacing w:val="-15"/>
        </w:rPr>
        <w:t> </w:t>
      </w:r>
      <w:r>
        <w:rPr/>
        <w:t>role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examine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statements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recommend</w:t>
      </w:r>
      <w:r>
        <w:rPr>
          <w:spacing w:val="-13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Board</w:t>
      </w:r>
      <w:r>
        <w:rPr>
          <w:spacing w:val="-13"/>
        </w:rPr>
        <w:t> </w:t>
      </w:r>
      <w:r>
        <w:rPr/>
        <w:t>approve</w:t>
      </w:r>
      <w:r>
        <w:rPr>
          <w:spacing w:val="-59"/>
        </w:rPr>
        <w:t> </w:t>
      </w:r>
      <w:r>
        <w:rPr/>
        <w:t>the financial statements, to examine the internal control and information protection systems and all</w:t>
      </w:r>
      <w:r>
        <w:rPr>
          <w:spacing w:val="1"/>
        </w:rPr>
        <w:t> </w:t>
      </w:r>
      <w:r>
        <w:rPr/>
        <w:t>other</w:t>
      </w:r>
      <w:r>
        <w:rPr>
          <w:spacing w:val="-11"/>
        </w:rPr>
        <w:t> </w:t>
      </w:r>
      <w:r>
        <w:rPr/>
        <w:t>matters</w:t>
      </w:r>
      <w:r>
        <w:rPr>
          <w:spacing w:val="-11"/>
        </w:rPr>
        <w:t> </w:t>
      </w:r>
      <w:r>
        <w:rPr/>
        <w:t>relating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Company’s</w:t>
      </w:r>
      <w:r>
        <w:rPr>
          <w:spacing w:val="-12"/>
        </w:rPr>
        <w:t> </w:t>
      </w:r>
      <w:r>
        <w:rPr/>
        <w:t>accounting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finances.</w:t>
      </w:r>
      <w:r>
        <w:rPr>
          <w:spacing w:val="-8"/>
        </w:rPr>
        <w:t> </w:t>
      </w:r>
      <w:r>
        <w:rPr/>
        <w:t>To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so,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Audit</w:t>
      </w:r>
      <w:r>
        <w:rPr>
          <w:spacing w:val="-11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meets</w:t>
      </w:r>
      <w:r>
        <w:rPr>
          <w:spacing w:val="-59"/>
        </w:rPr>
        <w:t> </w:t>
      </w:r>
      <w:r>
        <w:rPr/>
        <w:t>annually with the external auditors, with or without the Company’s management, to review their</w:t>
      </w:r>
      <w:r>
        <w:rPr>
          <w:spacing w:val="1"/>
        </w:rPr>
        <w:t> </w:t>
      </w:r>
      <w:r>
        <w:rPr/>
        <w:t>respective</w:t>
      </w:r>
      <w:r>
        <w:rPr>
          <w:spacing w:val="-12"/>
        </w:rPr>
        <w:t> </w:t>
      </w:r>
      <w:r>
        <w:rPr/>
        <w:t>audit</w:t>
      </w:r>
      <w:r>
        <w:rPr>
          <w:spacing w:val="-11"/>
        </w:rPr>
        <w:t> </w:t>
      </w:r>
      <w:r>
        <w:rPr/>
        <w:t>plans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discuss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their</w:t>
      </w:r>
      <w:r>
        <w:rPr>
          <w:spacing w:val="-8"/>
        </w:rPr>
        <w:t> </w:t>
      </w:r>
      <w:r>
        <w:rPr/>
        <w:t>examination.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Audit</w:t>
      </w:r>
      <w:r>
        <w:rPr>
          <w:spacing w:val="-8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responsible</w:t>
      </w:r>
      <w:r>
        <w:rPr>
          <w:spacing w:val="-59"/>
        </w:rPr>
        <w:t> </w:t>
      </w:r>
      <w:r>
        <w:rPr/>
        <w:t>for</w:t>
      </w:r>
      <w:r>
        <w:rPr>
          <w:spacing w:val="-2"/>
        </w:rPr>
        <w:t> </w:t>
      </w:r>
      <w:r>
        <w:rPr/>
        <w:t>recommending the</w:t>
      </w:r>
      <w:r>
        <w:rPr>
          <w:spacing w:val="-3"/>
        </w:rPr>
        <w:t> </w:t>
      </w:r>
      <w:r>
        <w:rPr/>
        <w:t>appointment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auditors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renewal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engagement.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RISK</w:t>
      </w:r>
      <w:r>
        <w:rPr>
          <w:spacing w:val="-16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FINANCIAL</w:t>
      </w:r>
      <w:r>
        <w:rPr>
          <w:spacing w:val="-14"/>
        </w:rPr>
        <w:t> </w:t>
      </w:r>
      <w:r>
        <w:rPr/>
        <w:t>INSTRUMENTS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42"/>
        <w:jc w:val="both"/>
      </w:pPr>
      <w:r>
        <w:rPr/>
        <w:t>IFRS 13 establishes a fair value hierarchy that reflects the significance of inputs used in making fair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measurements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21"/>
        </w:rPr>
      </w:pPr>
    </w:p>
    <w:p>
      <w:pPr>
        <w:pStyle w:val="BodyText"/>
        <w:ind w:left="116"/>
        <w:jc w:val="both"/>
      </w:pPr>
      <w:r>
        <w:rPr/>
        <w:t>Level</w:t>
      </w:r>
      <w:r>
        <w:rPr>
          <w:spacing w:val="-3"/>
        </w:rPr>
        <w:t> </w:t>
      </w:r>
      <w:r>
        <w:rPr/>
        <w:t>1 quoted</w:t>
      </w:r>
      <w:r>
        <w:rPr>
          <w:spacing w:val="-1"/>
        </w:rPr>
        <w:t> </w:t>
      </w:r>
      <w:r>
        <w:rPr/>
        <w:t>prices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active</w:t>
      </w:r>
      <w:r>
        <w:rPr>
          <w:spacing w:val="-3"/>
        </w:rPr>
        <w:t> </w:t>
      </w:r>
      <w:r>
        <w:rPr/>
        <w:t>markets</w:t>
      </w:r>
      <w:r>
        <w:rPr>
          <w:spacing w:val="-3"/>
        </w:rPr>
        <w:t> </w:t>
      </w:r>
      <w:r>
        <w:rPr/>
        <w:t>for identical</w:t>
      </w:r>
      <w:r>
        <w:rPr>
          <w:spacing w:val="-2"/>
        </w:rPr>
        <w:t> </w:t>
      </w:r>
      <w:r>
        <w:rPr/>
        <w:t>assets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liabilities;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41"/>
        <w:jc w:val="both"/>
      </w:pPr>
      <w:r>
        <w:rPr/>
        <w:t>Level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inputs other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quoted</w:t>
      </w:r>
      <w:r>
        <w:rPr>
          <w:spacing w:val="-3"/>
        </w:rPr>
        <w:t> </w:t>
      </w:r>
      <w:r>
        <w:rPr/>
        <w:t>prices</w:t>
      </w:r>
      <w:r>
        <w:rPr>
          <w:spacing w:val="-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1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observable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asset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liability,</w:t>
      </w:r>
      <w:r>
        <w:rPr>
          <w:spacing w:val="-58"/>
        </w:rPr>
        <w:t> </w:t>
      </w:r>
      <w:r>
        <w:rPr/>
        <w:t>either directly</w:t>
      </w:r>
      <w:r>
        <w:rPr>
          <w:spacing w:val="-2"/>
        </w:rPr>
        <w:t> </w:t>
      </w:r>
      <w:r>
        <w:rPr/>
        <w:t>(i.e.,</w:t>
      </w:r>
      <w:r>
        <w:rPr>
          <w:spacing w:val="-2"/>
        </w:rPr>
        <w:t> </w:t>
      </w:r>
      <w:r>
        <w:rPr/>
        <w:t>as prices) or</w:t>
      </w:r>
      <w:r>
        <w:rPr>
          <w:spacing w:val="1"/>
        </w:rPr>
        <w:t> </w:t>
      </w:r>
      <w:r>
        <w:rPr/>
        <w:t>indirectly</w:t>
      </w:r>
      <w:r>
        <w:rPr>
          <w:spacing w:val="-3"/>
        </w:rPr>
        <w:t> </w:t>
      </w:r>
      <w:r>
        <w:rPr/>
        <w:t>(i.e.,</w:t>
      </w:r>
      <w:r>
        <w:rPr>
          <w:spacing w:val="-1"/>
        </w:rPr>
        <w:t> </w:t>
      </w:r>
      <w:r>
        <w:rPr/>
        <w:t>from derived prices);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6"/>
        <w:jc w:val="both"/>
      </w:pPr>
      <w:r>
        <w:rPr/>
        <w:t>Level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inputs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asset</w:t>
      </w:r>
      <w:r>
        <w:rPr>
          <w:spacing w:val="-1"/>
        </w:rPr>
        <w:t> </w:t>
      </w:r>
      <w:r>
        <w:rPr/>
        <w:t>or liability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upon</w:t>
      </w:r>
      <w:r>
        <w:rPr>
          <w:spacing w:val="-2"/>
        </w:rPr>
        <w:t> </w:t>
      </w:r>
      <w:r>
        <w:rPr/>
        <w:t>observable</w:t>
      </w:r>
      <w:r>
        <w:rPr>
          <w:spacing w:val="-3"/>
        </w:rPr>
        <w:t> </w:t>
      </w:r>
      <w:r>
        <w:rPr/>
        <w:t>market data.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139"/>
        <w:jc w:val="both"/>
      </w:pPr>
      <w:r>
        <w:rPr/>
        <w:t>As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March</w:t>
      </w:r>
      <w:r>
        <w:rPr>
          <w:spacing w:val="-10"/>
        </w:rPr>
        <w:t> </w:t>
      </w:r>
      <w:r>
        <w:rPr/>
        <w:t>31,</w:t>
      </w:r>
      <w:r>
        <w:rPr>
          <w:spacing w:val="-9"/>
        </w:rPr>
        <w:t> </w:t>
      </w:r>
      <w:r>
        <w:rPr/>
        <w:t>2023,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carrying</w:t>
      </w:r>
      <w:r>
        <w:rPr>
          <w:spacing w:val="-10"/>
        </w:rPr>
        <w:t> </w:t>
      </w:r>
      <w:r>
        <w:rPr/>
        <w:t>value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Company’s</w:t>
      </w:r>
      <w:r>
        <w:rPr>
          <w:spacing w:val="-12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instruments</w:t>
      </w:r>
      <w:r>
        <w:rPr>
          <w:spacing w:val="-12"/>
        </w:rPr>
        <w:t> </w:t>
      </w:r>
      <w:r>
        <w:rPr/>
        <w:t>approximates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fair</w:t>
      </w:r>
      <w:r>
        <w:rPr>
          <w:spacing w:val="-59"/>
        </w:rPr>
        <w:t> </w:t>
      </w:r>
      <w:r>
        <w:rPr/>
        <w:t>value</w:t>
      </w:r>
      <w:r>
        <w:rPr>
          <w:spacing w:val="-1"/>
        </w:rPr>
        <w:t> </w:t>
      </w:r>
      <w:r>
        <w:rPr/>
        <w:t>due to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short</w:t>
      </w:r>
      <w:r>
        <w:rPr>
          <w:spacing w:val="-1"/>
        </w:rPr>
        <w:t> </w:t>
      </w:r>
      <w:r>
        <w:rPr/>
        <w:t>terms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maturity.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/>
        <w:t>Credit</w:t>
      </w:r>
      <w:r>
        <w:rPr>
          <w:spacing w:val="-1"/>
        </w:rPr>
        <w:t> </w:t>
      </w:r>
      <w:r>
        <w:rPr/>
        <w:t>risk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 w:right="137"/>
        <w:jc w:val="both"/>
      </w:pPr>
      <w:r>
        <w:rPr/>
        <w:t>Credit</w:t>
      </w:r>
      <w:r>
        <w:rPr>
          <w:spacing w:val="-10"/>
        </w:rPr>
        <w:t> </w:t>
      </w:r>
      <w:r>
        <w:rPr/>
        <w:t>risk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risk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one</w:t>
      </w:r>
      <w:r>
        <w:rPr>
          <w:spacing w:val="-9"/>
        </w:rPr>
        <w:t> </w:t>
      </w:r>
      <w:r>
        <w:rPr/>
        <w:t>party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instrument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cause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loss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9"/>
        </w:rPr>
        <w:t> </w:t>
      </w:r>
      <w:r>
        <w:rPr/>
        <w:t>party</w:t>
      </w:r>
      <w:r>
        <w:rPr>
          <w:spacing w:val="-59"/>
        </w:rPr>
        <w:t> </w:t>
      </w:r>
      <w:r>
        <w:rPr/>
        <w:t>by failing to discharge an obligation. The Company’s primary exposure to credit risk is in its cash</w:t>
      </w:r>
      <w:r>
        <w:rPr>
          <w:spacing w:val="1"/>
        </w:rPr>
        <w:t> </w:t>
      </w:r>
      <w:r>
        <w:rPr/>
        <w:t>accounts and accounts receivable. The Company manages credit risk, in respect of cash, by placing</w:t>
      </w:r>
      <w:r>
        <w:rPr>
          <w:spacing w:val="1"/>
        </w:rPr>
        <w:t> </w:t>
      </w:r>
      <w:r>
        <w:rPr/>
        <w:t>cash at major Canadian financial institutions. Accounts receivable mainly consists of receivables from</w:t>
      </w:r>
      <w:r>
        <w:rPr>
          <w:spacing w:val="1"/>
        </w:rPr>
        <w:t> </w:t>
      </w:r>
      <w:r>
        <w:rPr/>
        <w:t>its</w:t>
      </w:r>
      <w:r>
        <w:rPr>
          <w:spacing w:val="-6"/>
        </w:rPr>
        <w:t> </w:t>
      </w:r>
      <w:r>
        <w:rPr/>
        <w:t>customers.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6"/>
        </w:rPr>
        <w:t> </w:t>
      </w:r>
      <w:r>
        <w:rPr/>
        <w:t>considers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no</w:t>
      </w:r>
      <w:r>
        <w:rPr>
          <w:spacing w:val="-9"/>
        </w:rPr>
        <w:t> </w:t>
      </w:r>
      <w:r>
        <w:rPr/>
        <w:t>bad</w:t>
      </w:r>
      <w:r>
        <w:rPr>
          <w:spacing w:val="-6"/>
        </w:rPr>
        <w:t> </w:t>
      </w:r>
      <w:r>
        <w:rPr/>
        <w:t>debt</w:t>
      </w:r>
      <w:r>
        <w:rPr>
          <w:spacing w:val="-4"/>
        </w:rPr>
        <w:t> </w:t>
      </w:r>
      <w:r>
        <w:rPr/>
        <w:t>provision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trade</w:t>
      </w:r>
      <w:r>
        <w:rPr>
          <w:spacing w:val="-6"/>
        </w:rPr>
        <w:t> </w:t>
      </w:r>
      <w:r>
        <w:rPr/>
        <w:t>receivable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necessary</w:t>
      </w:r>
      <w:r>
        <w:rPr>
          <w:spacing w:val="-58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debtors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reporting date.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</w:pPr>
      <w:r>
        <w:rPr/>
        <w:t>Liquidity</w:t>
      </w:r>
      <w:r>
        <w:rPr>
          <w:spacing w:val="-3"/>
        </w:rPr>
        <w:t> </w:t>
      </w:r>
      <w:r>
        <w:rPr/>
        <w:t>risk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/>
      </w:pPr>
      <w:r>
        <w:rPr/>
        <w:t>Liquidity</w:t>
      </w:r>
      <w:r>
        <w:rPr>
          <w:spacing w:val="10"/>
        </w:rPr>
        <w:t> </w:t>
      </w:r>
      <w:r>
        <w:rPr/>
        <w:t>risk</w:t>
      </w:r>
      <w:r>
        <w:rPr>
          <w:spacing w:val="11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risk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Company</w:t>
      </w:r>
      <w:r>
        <w:rPr>
          <w:spacing w:val="7"/>
        </w:rPr>
        <w:t> </w:t>
      </w:r>
      <w:r>
        <w:rPr/>
        <w:t>will</w:t>
      </w:r>
      <w:r>
        <w:rPr>
          <w:spacing w:val="9"/>
        </w:rPr>
        <w:t> </w:t>
      </w:r>
      <w:r>
        <w:rPr/>
        <w:t>encounter</w:t>
      </w:r>
      <w:r>
        <w:rPr>
          <w:spacing w:val="9"/>
        </w:rPr>
        <w:t> </w:t>
      </w:r>
      <w:r>
        <w:rPr/>
        <w:t>difficulty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satisfying</w:t>
      </w:r>
      <w:r>
        <w:rPr>
          <w:spacing w:val="10"/>
        </w:rPr>
        <w:t> </w:t>
      </w:r>
      <w:r>
        <w:rPr/>
        <w:t>financial</w:t>
      </w:r>
      <w:r>
        <w:rPr>
          <w:spacing w:val="9"/>
        </w:rPr>
        <w:t> </w:t>
      </w:r>
      <w:r>
        <w:rPr/>
        <w:t>obligations</w:t>
      </w:r>
      <w:r>
        <w:rPr>
          <w:spacing w:val="10"/>
        </w:rPr>
        <w:t> </w:t>
      </w:r>
      <w:r>
        <w:rPr/>
        <w:t>as</w:t>
      </w:r>
      <w:r>
        <w:rPr>
          <w:spacing w:val="-58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 due. The Company manages liquidity</w:t>
      </w:r>
      <w:r>
        <w:rPr>
          <w:spacing w:val="1"/>
        </w:rPr>
        <w:t> </w:t>
      </w:r>
      <w:r>
        <w:rPr/>
        <w:t>by maintaining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cash balances to meet</w:t>
      </w:r>
      <w:r>
        <w:rPr>
          <w:spacing w:val="-59"/>
        </w:rPr>
        <w:t> </w:t>
      </w:r>
      <w:r>
        <w:rPr/>
        <w:t>liabilities as they become due. At March 31, 2023, the Company had a cash balance of $159,157</w:t>
      </w:r>
      <w:r>
        <w:rPr>
          <w:spacing w:val="1"/>
        </w:rPr>
        <w:t> </w:t>
      </w:r>
      <w:r>
        <w:rPr/>
        <w:t>(March</w:t>
      </w:r>
      <w:r>
        <w:rPr>
          <w:spacing w:val="1"/>
        </w:rPr>
        <w:t> </w:t>
      </w:r>
      <w:r>
        <w:rPr/>
        <w:t>2022:</w:t>
      </w:r>
      <w:r>
        <w:rPr>
          <w:spacing w:val="1"/>
        </w:rPr>
        <w:t> </w:t>
      </w:r>
      <w:r>
        <w:rPr/>
        <w:t>1,290,382)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current</w:t>
      </w:r>
      <w:r>
        <w:rPr>
          <w:spacing w:val="2"/>
        </w:rPr>
        <w:t> </w:t>
      </w:r>
      <w:r>
        <w:rPr/>
        <w:t>liabilities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$12,017,252</w:t>
      </w:r>
      <w:r>
        <w:rPr>
          <w:spacing w:val="-3"/>
        </w:rPr>
        <w:t> </w:t>
      </w:r>
      <w:r>
        <w:rPr/>
        <w:t>(March</w:t>
      </w:r>
      <w:r>
        <w:rPr>
          <w:spacing w:val="-1"/>
        </w:rPr>
        <w:t> </w:t>
      </w:r>
      <w:r>
        <w:rPr/>
        <w:t>2022:</w:t>
      </w:r>
      <w:r>
        <w:rPr>
          <w:spacing w:val="2"/>
        </w:rPr>
        <w:t> </w:t>
      </w:r>
      <w:r>
        <w:rPr/>
        <w:t>6,591,391)</w:t>
      </w:r>
    </w:p>
    <w:p>
      <w:pPr>
        <w:pStyle w:val="BodyText"/>
        <w:spacing w:before="3"/>
      </w:pPr>
    </w:p>
    <w:p>
      <w:pPr>
        <w:pStyle w:val="Heading1"/>
      </w:pPr>
      <w:r>
        <w:rPr/>
        <w:t>Market</w:t>
      </w:r>
      <w:r>
        <w:rPr>
          <w:spacing w:val="-2"/>
        </w:rPr>
        <w:t> </w:t>
      </w:r>
      <w:r>
        <w:rPr/>
        <w:t>risk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ind w:left="116" w:right="139"/>
        <w:jc w:val="both"/>
      </w:pPr>
      <w:r>
        <w:rPr/>
        <w:t>Market</w:t>
      </w:r>
      <w:r>
        <w:rPr>
          <w:spacing w:val="-8"/>
        </w:rPr>
        <w:t> </w:t>
      </w:r>
      <w:r>
        <w:rPr/>
        <w:t>risk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risk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changes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market</w:t>
      </w:r>
      <w:r>
        <w:rPr>
          <w:spacing w:val="-4"/>
        </w:rPr>
        <w:t> </w:t>
      </w:r>
      <w:r>
        <w:rPr/>
        <w:t>prices,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9"/>
        </w:rPr>
        <w:t> </w:t>
      </w:r>
      <w:r>
        <w:rPr/>
        <w:t>foreign</w:t>
      </w:r>
      <w:r>
        <w:rPr>
          <w:spacing w:val="-6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rates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rates,</w:t>
      </w:r>
      <w:r>
        <w:rPr>
          <w:spacing w:val="-59"/>
        </w:rPr>
        <w:t> </w:t>
      </w:r>
      <w:r>
        <w:rPr/>
        <w:t>will affect the Company’s income or the value of its holdings of financial instruments. The objective of</w:t>
      </w:r>
      <w:r>
        <w:rPr>
          <w:spacing w:val="1"/>
        </w:rPr>
        <w:t> </w:t>
      </w:r>
      <w:r>
        <w:rPr>
          <w:spacing w:val="-1"/>
        </w:rPr>
        <w:t>market</w:t>
      </w:r>
      <w:r>
        <w:rPr>
          <w:spacing w:val="-13"/>
        </w:rPr>
        <w:t> </w:t>
      </w:r>
      <w:r>
        <w:rPr>
          <w:spacing w:val="-1"/>
        </w:rPr>
        <w:t>risk</w:t>
      </w:r>
      <w:r>
        <w:rPr>
          <w:spacing w:val="-16"/>
        </w:rPr>
        <w:t> </w:t>
      </w:r>
      <w:r>
        <w:rPr>
          <w:spacing w:val="-1"/>
        </w:rPr>
        <w:t>management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7"/>
        </w:rPr>
        <w:t> </w:t>
      </w:r>
      <w:r>
        <w:rPr/>
        <w:t>manage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market</w:t>
      </w:r>
      <w:r>
        <w:rPr>
          <w:spacing w:val="-13"/>
        </w:rPr>
        <w:t> </w:t>
      </w:r>
      <w:r>
        <w:rPr/>
        <w:t>risk</w:t>
      </w:r>
      <w:r>
        <w:rPr>
          <w:spacing w:val="-14"/>
        </w:rPr>
        <w:t> </w:t>
      </w:r>
      <w:r>
        <w:rPr/>
        <w:t>exposures</w:t>
      </w:r>
      <w:r>
        <w:rPr>
          <w:spacing w:val="-13"/>
        </w:rPr>
        <w:t> </w:t>
      </w:r>
      <w:r>
        <w:rPr/>
        <w:t>within</w:t>
      </w:r>
      <w:r>
        <w:rPr>
          <w:spacing w:val="-11"/>
        </w:rPr>
        <w:t> </w:t>
      </w:r>
      <w:r>
        <w:rPr/>
        <w:t>acceptable</w:t>
      </w:r>
      <w:r>
        <w:rPr>
          <w:spacing w:val="-13"/>
        </w:rPr>
        <w:t> </w:t>
      </w:r>
      <w:r>
        <w:rPr/>
        <w:t>parameters,</w:t>
      </w:r>
      <w:r>
        <w:rPr>
          <w:spacing w:val="-59"/>
        </w:rPr>
        <w:t> </w:t>
      </w:r>
      <w:r>
        <w:rPr/>
        <w:t>while optimizing the return on capital. As at March 31, 2023, Market risk comprises three types of risk:</w:t>
      </w:r>
      <w:r>
        <w:rPr>
          <w:spacing w:val="-59"/>
        </w:rPr>
        <w:t> </w:t>
      </w:r>
      <w:r>
        <w:rPr/>
        <w:t>currency</w:t>
      </w:r>
      <w:r>
        <w:rPr>
          <w:spacing w:val="-3"/>
        </w:rPr>
        <w:t> </w:t>
      </w:r>
      <w:r>
        <w:rPr/>
        <w:t>risk,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rate risk,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price risk.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3488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spacing w:before="94"/>
        <w:ind w:left="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2"/>
        </w:rPr>
        <w:t>B</w:t>
      </w:r>
      <w:r>
        <w:rPr>
          <w:rFonts w:ascii="Arial"/>
          <w:b/>
          <w:sz w:val="18"/>
        </w:rPr>
        <w:t>USINESS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22"/>
        </w:rPr>
        <w:t>R</w:t>
      </w:r>
      <w:r>
        <w:rPr>
          <w:rFonts w:ascii="Arial"/>
          <w:b/>
          <w:sz w:val="18"/>
        </w:rPr>
        <w:t>ISK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22"/>
        </w:rPr>
        <w:t>U</w:t>
      </w:r>
      <w:r>
        <w:rPr>
          <w:rFonts w:ascii="Arial"/>
          <w:b/>
          <w:sz w:val="18"/>
        </w:rPr>
        <w:t>NCERTAINTIES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 w:right="140"/>
        <w:jc w:val="both"/>
      </w:pP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major</w:t>
      </w:r>
      <w:r>
        <w:rPr>
          <w:spacing w:val="-11"/>
        </w:rPr>
        <w:t> </w:t>
      </w:r>
      <w:r>
        <w:rPr/>
        <w:t>risk</w:t>
      </w:r>
      <w:r>
        <w:rPr>
          <w:spacing w:val="-13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has</w:t>
      </w:r>
      <w:r>
        <w:rPr>
          <w:spacing w:val="-13"/>
        </w:rPr>
        <w:t> </w:t>
      </w:r>
      <w:r>
        <w:rPr/>
        <w:t>identified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relate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Company’s</w:t>
      </w:r>
      <w:r>
        <w:rPr>
          <w:spacing w:val="-14"/>
        </w:rPr>
        <w:t> </w:t>
      </w:r>
      <w:r>
        <w:rPr/>
        <w:t>business</w:t>
      </w:r>
      <w:r>
        <w:rPr>
          <w:spacing w:val="-59"/>
        </w:rPr>
        <w:t> </w:t>
      </w:r>
      <w:r>
        <w:rPr/>
        <w:t>activities. Though the following are major risk factors identified by management, they do not comprise</w:t>
      </w:r>
      <w:r>
        <w:rPr>
          <w:spacing w:val="1"/>
        </w:rPr>
        <w:t> </w:t>
      </w:r>
      <w:r>
        <w:rPr/>
        <w:t>a definitive list of all risk factors related to the Company’s business and operations. Other specific risk</w:t>
      </w:r>
      <w:r>
        <w:rPr>
          <w:spacing w:val="1"/>
        </w:rPr>
        <w:t> </w:t>
      </w:r>
      <w:r>
        <w:rPr/>
        <w:t>factors are discussed elsewhere 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MD&amp;A.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History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Operating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Losses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ind w:left="116"/>
      </w:pPr>
      <w:r>
        <w:rPr/>
        <w:t>The</w:t>
      </w:r>
      <w:r>
        <w:rPr>
          <w:spacing w:val="5"/>
        </w:rPr>
        <w:t> </w:t>
      </w:r>
      <w:r>
        <w:rPr/>
        <w:t>Company</w:t>
      </w:r>
      <w:r>
        <w:rPr>
          <w:spacing w:val="6"/>
        </w:rPr>
        <w:t> </w:t>
      </w:r>
      <w:r>
        <w:rPr/>
        <w:t>was</w:t>
      </w:r>
      <w:r>
        <w:rPr>
          <w:spacing w:val="4"/>
        </w:rPr>
        <w:t> </w:t>
      </w:r>
      <w:r>
        <w:rPr/>
        <w:t>incorporated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October</w:t>
      </w:r>
      <w:r>
        <w:rPr>
          <w:spacing w:val="7"/>
        </w:rPr>
        <w:t> </w:t>
      </w:r>
      <w:r>
        <w:rPr/>
        <w:t>11,</w:t>
      </w:r>
      <w:r>
        <w:rPr>
          <w:spacing w:val="5"/>
        </w:rPr>
        <w:t> </w:t>
      </w:r>
      <w:r>
        <w:rPr/>
        <w:t>2019,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has</w:t>
      </w:r>
      <w:r>
        <w:rPr>
          <w:spacing w:val="3"/>
        </w:rPr>
        <w:t> </w:t>
      </w:r>
      <w:r>
        <w:rPr/>
        <w:t>not</w:t>
      </w:r>
      <w:r>
        <w:rPr>
          <w:spacing w:val="5"/>
        </w:rPr>
        <w:t> </w:t>
      </w:r>
      <w:r>
        <w:rPr/>
        <w:t>generated</w:t>
      </w:r>
      <w:r>
        <w:rPr>
          <w:spacing w:val="7"/>
        </w:rPr>
        <w:t> </w:t>
      </w:r>
      <w:r>
        <w:rPr/>
        <w:t>profit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its</w:t>
      </w:r>
      <w:r>
        <w:rPr>
          <w:spacing w:val="7"/>
        </w:rPr>
        <w:t> </w:t>
      </w:r>
      <w:r>
        <w:rPr/>
        <w:t>activities.</w:t>
      </w:r>
      <w:r>
        <w:rPr>
          <w:spacing w:val="-58"/>
        </w:rPr>
        <w:t> </w:t>
      </w:r>
      <w:r>
        <w:rPr/>
        <w:t>The</w:t>
      </w:r>
      <w:r>
        <w:rPr>
          <w:spacing w:val="15"/>
        </w:rPr>
        <w:t> </w:t>
      </w:r>
      <w:r>
        <w:rPr/>
        <w:t>Company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accumulated</w:t>
      </w:r>
      <w:r>
        <w:rPr>
          <w:spacing w:val="13"/>
        </w:rPr>
        <w:t> </w:t>
      </w:r>
      <w:r>
        <w:rPr/>
        <w:t>deficit</w:t>
      </w:r>
      <w:r>
        <w:rPr>
          <w:spacing w:val="14"/>
        </w:rPr>
        <w:t> </w:t>
      </w:r>
      <w:r>
        <w:rPr/>
        <w:t>since</w:t>
      </w:r>
      <w:r>
        <w:rPr>
          <w:spacing w:val="14"/>
        </w:rPr>
        <w:t> </w:t>
      </w:r>
      <w:r>
        <w:rPr/>
        <w:t>its</w:t>
      </w:r>
      <w:r>
        <w:rPr>
          <w:spacing w:val="13"/>
        </w:rPr>
        <w:t> </w:t>
      </w:r>
      <w:r>
        <w:rPr/>
        <w:t>incorporation</w:t>
      </w:r>
      <w:r>
        <w:rPr>
          <w:spacing w:val="12"/>
        </w:rPr>
        <w:t> </w:t>
      </w:r>
      <w:r>
        <w:rPr/>
        <w:t>through</w:t>
      </w:r>
      <w:r>
        <w:rPr>
          <w:spacing w:val="12"/>
        </w:rPr>
        <w:t> </w:t>
      </w:r>
      <w:r>
        <w:rPr/>
        <w:t>March</w:t>
      </w:r>
      <w:r>
        <w:rPr>
          <w:spacing w:val="12"/>
        </w:rPr>
        <w:t> </w:t>
      </w:r>
      <w:r>
        <w:rPr/>
        <w:t>31,</w:t>
      </w:r>
      <w:r>
        <w:rPr>
          <w:spacing w:val="14"/>
        </w:rPr>
        <w:t> </w:t>
      </w:r>
      <w:r>
        <w:rPr/>
        <w:t>2023,</w:t>
      </w:r>
      <w:r>
        <w:rPr>
          <w:spacing w:val="14"/>
        </w:rPr>
        <w:t> </w:t>
      </w:r>
      <w:r>
        <w:rPr/>
        <w:t>of</w:t>
      </w:r>
    </w:p>
    <w:p>
      <w:pPr>
        <w:spacing w:line="252" w:lineRule="exact" w:before="0"/>
        <w:ind w:left="116" w:right="0" w:firstLine="0"/>
        <w:jc w:val="left"/>
        <w:rPr>
          <w:sz w:val="22"/>
        </w:rPr>
      </w:pPr>
      <w:r>
        <w:rPr>
          <w:sz w:val="22"/>
        </w:rPr>
        <w:t>$</w:t>
      </w:r>
      <w:r>
        <w:rPr>
          <w:sz w:val="20"/>
        </w:rPr>
        <w:t>104,138,057</w:t>
      </w:r>
      <w:r>
        <w:rPr>
          <w:sz w:val="22"/>
        </w:rPr>
        <w:t>.</w:t>
      </w:r>
    </w:p>
    <w:p>
      <w:pPr>
        <w:pStyle w:val="BodyText"/>
        <w:rPr>
          <w:sz w:val="21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Competitive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Risk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BodyText"/>
        <w:ind w:left="116" w:right="135"/>
        <w:jc w:val="both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competition</w:t>
      </w:r>
      <w:r>
        <w:rPr>
          <w:spacing w:val="-4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innovative</w:t>
      </w:r>
      <w:r>
        <w:rPr>
          <w:spacing w:val="-4"/>
        </w:rPr>
        <w:t> </w:t>
      </w:r>
      <w:r>
        <w:rPr/>
        <w:t>plant-based</w:t>
      </w:r>
      <w:r>
        <w:rPr>
          <w:spacing w:val="-4"/>
        </w:rPr>
        <w:t> </w:t>
      </w:r>
      <w:r>
        <w:rPr/>
        <w:t>food,</w:t>
      </w:r>
      <w:r>
        <w:rPr>
          <w:spacing w:val="-4"/>
        </w:rPr>
        <w:t> </w:t>
      </w:r>
      <w:r>
        <w:rPr/>
        <w:t>meal</w:t>
      </w:r>
      <w:r>
        <w:rPr>
          <w:spacing w:val="-5"/>
        </w:rPr>
        <w:t> </w:t>
      </w:r>
      <w:r>
        <w:rPr/>
        <w:t>delivery,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beverages</w:t>
      </w:r>
      <w:r>
        <w:rPr>
          <w:spacing w:val="-9"/>
        </w:rPr>
        <w:t> </w:t>
      </w:r>
      <w:r>
        <w:rPr/>
        <w:t>market.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Company will compete with other companies, many of which have been on the market longer, have</w:t>
      </w:r>
      <w:r>
        <w:rPr>
          <w:spacing w:val="1"/>
        </w:rPr>
        <w:t> </w:t>
      </w:r>
      <w:r>
        <w:rPr/>
        <w:t>greater financial, technical, and other resources than the Company, for, among other things, the</w:t>
      </w:r>
      <w:r>
        <w:rPr>
          <w:spacing w:val="1"/>
        </w:rPr>
        <w:t> </w:t>
      </w:r>
      <w:r>
        <w:rPr/>
        <w:t>recruitment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qualified</w:t>
      </w:r>
      <w:r>
        <w:rPr>
          <w:spacing w:val="2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personnel.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Industry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Risk</w:t>
      </w:r>
    </w:p>
    <w:p>
      <w:pPr>
        <w:pStyle w:val="BodyText"/>
        <w:spacing w:before="9"/>
        <w:rPr>
          <w:rFonts w:ascii="Arial"/>
          <w:i/>
          <w:sz w:val="20"/>
        </w:rPr>
      </w:pPr>
    </w:p>
    <w:p>
      <w:pPr>
        <w:pStyle w:val="BodyText"/>
        <w:ind w:left="116" w:right="134"/>
        <w:jc w:val="both"/>
      </w:pPr>
      <w:r>
        <w:rPr/>
        <w:t>The Company is operating in comparison with other industries in a relatively young market. Typically,</w:t>
      </w:r>
      <w:r>
        <w:rPr>
          <w:spacing w:val="1"/>
        </w:rPr>
        <w:t> </w:t>
      </w:r>
      <w:r>
        <w:rPr/>
        <w:t>emerging industries grow faster but face greater uncertainty than mature industries. The plant-based</w:t>
      </w:r>
      <w:r>
        <w:rPr>
          <w:spacing w:val="1"/>
        </w:rPr>
        <w:t> </w:t>
      </w:r>
      <w:r>
        <w:rPr/>
        <w:t>industry is not fully developed yet, which means there is growth potential for companies in this sector.</w:t>
      </w:r>
      <w:r>
        <w:rPr>
          <w:spacing w:val="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other</w:t>
      </w:r>
      <w:r>
        <w:rPr>
          <w:spacing w:val="-11"/>
        </w:rPr>
        <w:t> </w:t>
      </w:r>
      <w:r>
        <w:rPr/>
        <w:t>hand,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overall</w:t>
      </w:r>
      <w:r>
        <w:rPr>
          <w:spacing w:val="-13"/>
        </w:rPr>
        <w:t> </w:t>
      </w:r>
      <w:r>
        <w:rPr/>
        <w:t>acceptance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about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plant-based</w:t>
      </w:r>
      <w:r>
        <w:rPr>
          <w:spacing w:val="-13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still</w:t>
      </w:r>
      <w:r>
        <w:rPr>
          <w:spacing w:val="-12"/>
        </w:rPr>
        <w:t> </w:t>
      </w:r>
      <w:r>
        <w:rPr/>
        <w:t>relatively</w:t>
      </w:r>
      <w:r>
        <w:rPr>
          <w:spacing w:val="-59"/>
        </w:rPr>
        <w:t> </w:t>
      </w:r>
      <w:r>
        <w:rPr/>
        <w:t>low,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makes companies</w:t>
      </w:r>
      <w:r>
        <w:rPr>
          <w:spacing w:val="-1"/>
        </w:rPr>
        <w:t> </w:t>
      </w:r>
      <w:r>
        <w:rPr/>
        <w:t>in that</w:t>
      </w:r>
      <w:r>
        <w:rPr>
          <w:spacing w:val="1"/>
        </w:rPr>
        <w:t> </w:t>
      </w:r>
      <w:r>
        <w:rPr/>
        <w:t>industry</w:t>
      </w:r>
      <w:r>
        <w:rPr>
          <w:spacing w:val="-3"/>
        </w:rPr>
        <w:t> </w:t>
      </w:r>
      <w:r>
        <w:rPr/>
        <w:t>face</w:t>
      </w:r>
      <w:r>
        <w:rPr>
          <w:spacing w:val="-3"/>
        </w:rPr>
        <w:t> </w:t>
      </w:r>
      <w:r>
        <w:rPr/>
        <w:t>a higher</w:t>
      </w:r>
      <w:r>
        <w:rPr>
          <w:spacing w:val="-2"/>
        </w:rPr>
        <w:t> </w:t>
      </w:r>
      <w:r>
        <w:rPr/>
        <w:t>risk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mature</w:t>
      </w:r>
      <w:r>
        <w:rPr>
          <w:spacing w:val="-3"/>
        </w:rPr>
        <w:t> </w:t>
      </w:r>
      <w:r>
        <w:rPr/>
        <w:t>industries.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Intellectual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Property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Risk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ind w:left="116" w:right="133"/>
        <w:jc w:val="both"/>
      </w:pPr>
      <w:r>
        <w:rPr/>
        <w:t>The Company has developed online platforms offering plant-based products available for fast home</w:t>
      </w:r>
      <w:r>
        <w:rPr>
          <w:spacing w:val="1"/>
        </w:rPr>
        <w:t> </w:t>
      </w:r>
      <w:r>
        <w:rPr/>
        <w:t>delivery. The Company may be unable to prevent competitors from independently developing e-</w:t>
      </w:r>
      <w:r>
        <w:rPr>
          <w:spacing w:val="1"/>
        </w:rPr>
        <w:t> </w:t>
      </w:r>
      <w:r>
        <w:rPr/>
        <w:t>commerce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online</w:t>
      </w:r>
      <w:r>
        <w:rPr>
          <w:spacing w:val="-3"/>
        </w:rPr>
        <w:t> </w:t>
      </w:r>
      <w:r>
        <w:rPr/>
        <w:t>platforms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duplicate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Company,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there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assurance</w:t>
      </w:r>
      <w:r>
        <w:rPr>
          <w:spacing w:val="-59"/>
        </w:rPr>
        <w:t> </w:t>
      </w:r>
      <w:r>
        <w:rPr/>
        <w:t>that the resources invested by the Company to protect the intellectual property will be sufficient. The</w:t>
      </w:r>
      <w:r>
        <w:rPr>
          <w:spacing w:val="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be unable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secure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retain ownership or</w:t>
      </w:r>
      <w:r>
        <w:rPr>
          <w:spacing w:val="-1"/>
        </w:rPr>
        <w:t> </w:t>
      </w:r>
      <w:r>
        <w:rPr/>
        <w:t>rights.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Reliance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Management,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Dependence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on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Key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Personnel,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Conflict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Interest</w:t>
      </w:r>
    </w:p>
    <w:p>
      <w:pPr>
        <w:pStyle w:val="BodyText"/>
        <w:spacing w:before="10"/>
        <w:rPr>
          <w:rFonts w:ascii="Arial"/>
          <w:i/>
          <w:sz w:val="20"/>
        </w:rPr>
      </w:pPr>
    </w:p>
    <w:p>
      <w:pPr>
        <w:pStyle w:val="BodyText"/>
        <w:ind w:left="116" w:right="139"/>
        <w:jc w:val="both"/>
      </w:pPr>
      <w:r>
        <w:rPr/>
        <w:t>The success of the Company will be largely dependent upon the performance of the directors and</w:t>
      </w:r>
      <w:r>
        <w:rPr>
          <w:spacing w:val="1"/>
        </w:rPr>
        <w:t> </w:t>
      </w:r>
      <w:r>
        <w:rPr/>
        <w:t>officers and the ability to attract and retain key personnel. The loss of the services of these persons</w:t>
      </w:r>
      <w:r>
        <w:rPr>
          <w:spacing w:val="1"/>
        </w:rPr>
        <w:t> </w:t>
      </w:r>
      <w:r>
        <w:rPr/>
        <w:t>may have a material adverse effect on the Company’s business and prospects. The Company will</w:t>
      </w:r>
      <w:r>
        <w:rPr>
          <w:spacing w:val="1"/>
        </w:rPr>
        <w:t> </w:t>
      </w:r>
      <w:r>
        <w:rPr/>
        <w:t>compete with numerous other companies for the recruitment and retention of qualified employees and</w:t>
      </w:r>
      <w:r>
        <w:rPr>
          <w:spacing w:val="-59"/>
        </w:rPr>
        <w:t> </w:t>
      </w:r>
      <w:r>
        <w:rPr/>
        <w:t>contractors. There is no assurance that the Company can maintain the service of its directors and</w:t>
      </w:r>
      <w:r>
        <w:rPr>
          <w:spacing w:val="1"/>
        </w:rPr>
        <w:t> </w:t>
      </w:r>
      <w:r>
        <w:rPr/>
        <w:t>officers, or other qualified personnel required to operate its business. Failure to do so could have a</w:t>
      </w:r>
      <w:r>
        <w:rPr>
          <w:spacing w:val="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adverse</w:t>
      </w:r>
      <w:r>
        <w:rPr>
          <w:spacing w:val="-2"/>
        </w:rPr>
        <w:t> </w:t>
      </w:r>
      <w:r>
        <w:rPr/>
        <w:t>effect</w:t>
      </w:r>
      <w:r>
        <w:rPr>
          <w:spacing w:val="2"/>
        </w:rPr>
        <w:t> </w:t>
      </w:r>
      <w:r>
        <w:rPr/>
        <w:t>on the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and its</w:t>
      </w:r>
      <w:r>
        <w:rPr>
          <w:spacing w:val="1"/>
        </w:rPr>
        <w:t> </w:t>
      </w:r>
      <w:r>
        <w:rPr/>
        <w:t>prospects.</w:t>
      </w:r>
    </w:p>
    <w:p>
      <w:pPr>
        <w:spacing w:after="0"/>
        <w:jc w:val="both"/>
        <w:sectPr>
          <w:pgSz w:w="12240" w:h="15840"/>
          <w:pgMar w:header="715" w:footer="1512" w:top="1860" w:bottom="1760" w:left="104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0.151001pt;margin-top:109.220001pt;width:525.9pt;height:1.4pt;mso-position-horizontal-relative:page;mso-position-vertical-relative:page;z-index:15744000" coordorigin="1003,2184" coordsize="10518,28" path="m1003,2184l11521,2184m1003,2195l11521,2195m1003,2205l11521,2205m1003,2212l11521,2212e" filled="false" stroked="true" strokeweight=".75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4"/>
        <w:ind w:left="116" w:right="136"/>
        <w:jc w:val="both"/>
      </w:pPr>
      <w:r>
        <w:rPr/>
        <w:t>Certain directors and officers of the Company may also serve as directors and officers of other</w:t>
      </w:r>
      <w:r>
        <w:rPr>
          <w:spacing w:val="1"/>
        </w:rPr>
        <w:t> </w:t>
      </w:r>
      <w:r>
        <w:rPr>
          <w:spacing w:val="-1"/>
        </w:rPr>
        <w:t>companies</w:t>
      </w:r>
      <w:r>
        <w:rPr>
          <w:spacing w:val="-11"/>
        </w:rPr>
        <w:t> </w:t>
      </w:r>
      <w:r>
        <w:rPr>
          <w:spacing w:val="-1"/>
        </w:rPr>
        <w:t>involved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similar</w:t>
      </w:r>
      <w:r>
        <w:rPr>
          <w:spacing w:val="-9"/>
        </w:rPr>
        <w:t> </w:t>
      </w:r>
      <w:r>
        <w:rPr/>
        <w:t>offering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plant-based</w:t>
      </w:r>
      <w:r>
        <w:rPr>
          <w:spacing w:val="-11"/>
        </w:rPr>
        <w:t> </w:t>
      </w:r>
      <w:r>
        <w:rPr/>
        <w:t>products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its</w:t>
      </w:r>
      <w:r>
        <w:rPr>
          <w:spacing w:val="-13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consequently,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possibility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conflict</w:t>
      </w:r>
      <w:r>
        <w:rPr>
          <w:spacing w:val="-12"/>
        </w:rPr>
        <w:t> </w:t>
      </w:r>
      <w:r>
        <w:rPr/>
        <w:t>exists.</w:t>
      </w:r>
      <w:r>
        <w:rPr>
          <w:spacing w:val="-12"/>
        </w:rPr>
        <w:t> </w:t>
      </w:r>
      <w:r>
        <w:rPr/>
        <w:t>Any</w:t>
      </w:r>
      <w:r>
        <w:rPr>
          <w:spacing w:val="-10"/>
        </w:rPr>
        <w:t> </w:t>
      </w:r>
      <w:r>
        <w:rPr/>
        <w:t>decisions</w:t>
      </w:r>
      <w:r>
        <w:rPr>
          <w:spacing w:val="-13"/>
        </w:rPr>
        <w:t> </w:t>
      </w:r>
      <w:r>
        <w:rPr/>
        <w:t>made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such</w:t>
      </w:r>
      <w:r>
        <w:rPr>
          <w:spacing w:val="-13"/>
        </w:rPr>
        <w:t> </w:t>
      </w:r>
      <w:r>
        <w:rPr/>
        <w:t>directors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officers</w:t>
      </w:r>
      <w:r>
        <w:rPr>
          <w:spacing w:val="-9"/>
        </w:rPr>
        <w:t> </w:t>
      </w:r>
      <w:r>
        <w:rPr/>
        <w:t>involving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59"/>
        </w:rPr>
        <w:t> </w:t>
      </w:r>
      <w:r>
        <w:rPr/>
        <w:t>will be made in accordance with the duties and obligations of directors and officers to deal fairly and in</w:t>
      </w:r>
      <w:r>
        <w:rPr>
          <w:spacing w:val="-59"/>
        </w:rPr>
        <w:t> </w:t>
      </w:r>
      <w:r>
        <w:rPr>
          <w:spacing w:val="-1"/>
        </w:rPr>
        <w:t>good</w:t>
      </w:r>
      <w:r>
        <w:rPr>
          <w:spacing w:val="-12"/>
        </w:rPr>
        <w:t> </w:t>
      </w:r>
      <w:r>
        <w:rPr>
          <w:spacing w:val="-1"/>
        </w:rPr>
        <w:t>faith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Company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other</w:t>
      </w:r>
      <w:r>
        <w:rPr>
          <w:spacing w:val="-13"/>
        </w:rPr>
        <w:t> </w:t>
      </w:r>
      <w:r>
        <w:rPr/>
        <w:t>companies.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such</w:t>
      </w:r>
      <w:r>
        <w:rPr>
          <w:spacing w:val="-14"/>
        </w:rPr>
        <w:t> </w:t>
      </w:r>
      <w:r>
        <w:rPr/>
        <w:t>directors</w:t>
      </w:r>
      <w:r>
        <w:rPr>
          <w:spacing w:val="-14"/>
        </w:rPr>
        <w:t> </w:t>
      </w:r>
      <w:r>
        <w:rPr/>
        <w:t>declare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interest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refrain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voting on any</w:t>
      </w:r>
      <w:r>
        <w:rPr>
          <w:spacing w:val="-3"/>
        </w:rPr>
        <w:t> </w:t>
      </w:r>
      <w:r>
        <w:rPr/>
        <w:t>matters</w:t>
      </w:r>
      <w:r>
        <w:rPr>
          <w:spacing w:val="1"/>
        </w:rPr>
        <w:t> </w:t>
      </w:r>
      <w:r>
        <w:rPr/>
        <w:t>in which</w:t>
      </w:r>
      <w:r>
        <w:rPr>
          <w:spacing w:val="-3"/>
        </w:rPr>
        <w:t> </w:t>
      </w:r>
      <w:r>
        <w:rPr/>
        <w:t>such directors</w:t>
      </w:r>
      <w:r>
        <w:rPr>
          <w:spacing w:val="-1"/>
        </w:rPr>
        <w:t> </w:t>
      </w:r>
      <w:r>
        <w:rPr/>
        <w:t>may have</w:t>
      </w:r>
      <w:r>
        <w:rPr>
          <w:spacing w:val="-4"/>
        </w:rPr>
        <w:t> </w:t>
      </w:r>
      <w:r>
        <w:rPr/>
        <w:t>a conflict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6" w:right="137"/>
        <w:jc w:val="both"/>
      </w:pPr>
      <w:r>
        <w:rPr/>
        <w:t>For additional risk factors, please see a section titled “</w:t>
      </w:r>
      <w:r>
        <w:rPr>
          <w:rFonts w:ascii="Arial" w:hAnsi="Arial"/>
          <w:i/>
        </w:rPr>
        <w:t>Risk Factors</w:t>
      </w:r>
      <w:r>
        <w:rPr/>
        <w:t>” in the Company’s most recently</w:t>
      </w:r>
      <w:r>
        <w:rPr>
          <w:spacing w:val="1"/>
        </w:rPr>
        <w:t> </w:t>
      </w:r>
      <w:r>
        <w:rPr/>
        <w:t>filed</w:t>
      </w:r>
      <w:r>
        <w:rPr>
          <w:spacing w:val="-1"/>
        </w:rPr>
        <w:t> </w:t>
      </w:r>
      <w:r>
        <w:rPr/>
        <w:t>Annual Information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available on SEDAR</w:t>
      </w:r>
      <w:r>
        <w:rPr>
          <w:spacing w:val="-1"/>
        </w:rPr>
        <w:t> </w:t>
      </w:r>
      <w:r>
        <w:rPr/>
        <w:t>at</w:t>
      </w:r>
      <w:r>
        <w:rPr>
          <w:spacing w:val="5"/>
        </w:rPr>
        <w:t> </w:t>
      </w:r>
      <w:hyperlink r:id="rId33">
        <w:r>
          <w:rPr>
            <w:u w:val="single"/>
          </w:rPr>
          <w:t>www.sedar.com</w:t>
        </w:r>
        <w:r>
          <w:rPr/>
          <w:t>.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2"/>
        </w:rPr>
        <w:t>P</w:t>
      </w:r>
      <w:r>
        <w:rPr>
          <w:rFonts w:ascii="Arial"/>
          <w:b/>
          <w:sz w:val="18"/>
        </w:rPr>
        <w:t>ERSONNEL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u w:val="single"/>
        </w:rPr>
        <w:t>Directors</w:t>
      </w:r>
      <w:r>
        <w:rPr>
          <w:spacing w:val="-3"/>
          <w:u w:val="single"/>
        </w:rPr>
        <w:t> </w:t>
      </w:r>
      <w:r>
        <w:rPr>
          <w:u w:val="single"/>
        </w:rPr>
        <w:t>and</w:t>
      </w:r>
      <w:r>
        <w:rPr>
          <w:spacing w:val="-3"/>
          <w:u w:val="single"/>
        </w:rPr>
        <w:t> </w:t>
      </w:r>
      <w:r>
        <w:rPr>
          <w:u w:val="single"/>
        </w:rPr>
        <w:t>Officers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6" w:right="7244"/>
      </w:pPr>
      <w:r>
        <w:rPr/>
        <w:t>Lorne Rapkin, CEO, Director</w:t>
      </w:r>
      <w:r>
        <w:rPr>
          <w:spacing w:val="-59"/>
        </w:rPr>
        <w:t> </w:t>
      </w:r>
      <w:r>
        <w:rPr/>
        <w:t>Julia</w:t>
      </w:r>
      <w:r>
        <w:rPr>
          <w:spacing w:val="-1"/>
        </w:rPr>
        <w:t> </w:t>
      </w:r>
      <w:r>
        <w:rPr/>
        <w:t>Frank,</w:t>
      </w:r>
      <w:r>
        <w:rPr>
          <w:spacing w:val="-1"/>
        </w:rPr>
        <w:t> </w:t>
      </w:r>
      <w:r>
        <w:rPr/>
        <w:t>COO</w:t>
      </w:r>
    </w:p>
    <w:p>
      <w:pPr>
        <w:pStyle w:val="BodyText"/>
        <w:ind w:left="116" w:right="7195"/>
      </w:pPr>
      <w:r>
        <w:rPr/>
        <w:t>Alex Hoffman, CMO, Director</w:t>
      </w:r>
      <w:r>
        <w:rPr>
          <w:spacing w:val="-60"/>
        </w:rPr>
        <w:t> </w:t>
      </w:r>
      <w:r>
        <w:rPr/>
        <w:t>Shariq</w:t>
      </w:r>
      <w:r>
        <w:rPr>
          <w:spacing w:val="-1"/>
        </w:rPr>
        <w:t> </w:t>
      </w:r>
      <w:r>
        <w:rPr/>
        <w:t>Khan,</w:t>
      </w:r>
      <w:r>
        <w:rPr>
          <w:spacing w:val="1"/>
        </w:rPr>
        <w:t> </w:t>
      </w:r>
      <w:r>
        <w:rPr/>
        <w:t>CFO</w:t>
      </w:r>
    </w:p>
    <w:p>
      <w:pPr>
        <w:pStyle w:val="BodyText"/>
        <w:spacing w:before="1"/>
        <w:ind w:left="116" w:right="6559"/>
      </w:pPr>
      <w:r>
        <w:rPr/>
        <w:t>Ralph Moxness, Director, Chairman</w:t>
      </w:r>
      <w:r>
        <w:rPr>
          <w:spacing w:val="-59"/>
        </w:rPr>
        <w:t> </w:t>
      </w:r>
      <w:r>
        <w:rPr/>
        <w:t>Quinn</w:t>
      </w:r>
      <w:r>
        <w:rPr>
          <w:spacing w:val="-1"/>
        </w:rPr>
        <w:t> </w:t>
      </w:r>
      <w:r>
        <w:rPr/>
        <w:t>Field-Dyte,</w:t>
      </w:r>
      <w:r>
        <w:rPr>
          <w:spacing w:val="1"/>
        </w:rPr>
        <w:t> </w:t>
      </w:r>
      <w:r>
        <w:rPr/>
        <w:t>Director</w:t>
      </w:r>
    </w:p>
    <w:p>
      <w:pPr>
        <w:pStyle w:val="BodyText"/>
        <w:ind w:left="116"/>
      </w:pPr>
      <w:r>
        <w:rPr/>
        <w:t>Sean</w:t>
      </w:r>
      <w:r>
        <w:rPr>
          <w:spacing w:val="-2"/>
        </w:rPr>
        <w:t> </w:t>
      </w:r>
      <w:r>
        <w:rPr/>
        <w:t>Dollinger, Founder,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Promoter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11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2"/>
        </w:rPr>
        <w:t>O</w:t>
      </w:r>
      <w:r>
        <w:rPr>
          <w:rFonts w:ascii="Arial"/>
          <w:b/>
          <w:sz w:val="18"/>
        </w:rPr>
        <w:t>THER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16"/>
      </w:pPr>
      <w:r>
        <w:rPr/>
        <w:t>Additional</w:t>
      </w:r>
      <w:r>
        <w:rPr>
          <w:spacing w:val="3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relating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Company’s operations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found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visiting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Company’s website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hyperlink r:id="rId34">
        <w:r>
          <w:rPr>
            <w:u w:val="single"/>
          </w:rPr>
          <w:t>www.PlantX.com</w:t>
        </w:r>
        <w:r>
          <w:rPr>
            <w:spacing w:val="-1"/>
            <w:u w:val="single"/>
          </w:rPr>
          <w:t> </w:t>
        </w:r>
        <w:r>
          <w:rPr/>
          <w:t>and</w:t>
        </w:r>
        <w:r>
          <w:rPr>
            <w:spacing w:val="-1"/>
          </w:rPr>
          <w:t> </w:t>
        </w:r>
      </w:hyperlink>
      <w:r>
        <w:rPr/>
        <w:t>its profile on</w:t>
      </w:r>
      <w:r>
        <w:rPr>
          <w:spacing w:val="-1"/>
        </w:rPr>
        <w:t> </w:t>
      </w:r>
      <w:r>
        <w:rPr/>
        <w:t>SEDAR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hyperlink r:id="rId33">
        <w:r>
          <w:rPr>
            <w:u w:val="single"/>
          </w:rPr>
          <w:t>www.sedar.com</w:t>
        </w:r>
      </w:hyperlink>
      <w:r>
        <w:rPr/>
        <w:t>.</w:t>
      </w:r>
    </w:p>
    <w:sectPr>
      <w:pgSz w:w="12240" w:h="15840"/>
      <w:pgMar w:header="715" w:footer="1512" w:top="1860" w:bottom="1760" w:left="10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3.290009pt;margin-top:702.999451pt;width:28.25pt;height:13.15pt;mso-position-horizontal-relative:page;mso-position-vertical-relative:page;z-index:-162600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550999pt;margin-top:36.119999pt;width:525.9pt;height:1.4pt;mso-position-horizontal-relative:page;mso-position-vertical-relative:page;z-index:-16261120" coordorigin="991,722" coordsize="10518,28" path="m991,722l11509,722m991,733l11509,733m991,743l11509,743m991,750l11509,750e" filled="false" stroked="true" strokeweight=".75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400002pt;margin-top:38.609962pt;width:302.45pt;height:55.65pt;mso-position-horizontal-relative:page;mso-position-vertical-relative:page;z-index:-16260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PlantX</w:t>
                </w:r>
                <w:r>
                  <w:rPr>
                    <w:rFonts w:asci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Life</w:t>
                </w:r>
                <w:r>
                  <w:rPr>
                    <w:rFonts w:ascii="Arial"/>
                    <w:b/>
                    <w:spacing w:val="-3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Inc.</w:t>
                </w:r>
              </w:p>
              <w:p>
                <w:pPr>
                  <w:spacing w:before="88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Management</w:t>
                </w:r>
                <w:r>
                  <w:rPr>
                    <w:rFonts w:ascii="Arial"/>
                    <w:b/>
                    <w:spacing w:val="-3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Discussion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and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Arial"/>
                    <w:b/>
                    <w:sz w:val="24"/>
                  </w:rPr>
                  <w:t>Analysis</w:t>
                </w:r>
              </w:p>
              <w:p>
                <w:pPr>
                  <w:spacing w:before="73"/>
                  <w:ind w:left="20" w:right="0" w:firstLine="0"/>
                  <w:jc w:val="left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For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the years</w:t>
                </w:r>
                <w:r>
                  <w:rPr>
                    <w:rFonts w:ascii="Arial"/>
                    <w:b/>
                    <w:spacing w:val="-3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ended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March 31,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2023</w:t>
                </w:r>
                <w:r>
                  <w:rPr>
                    <w:rFonts w:ascii="Arial"/>
                    <w:b/>
                    <w:spacing w:val="-3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and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Arial"/>
                    <w:b/>
                    <w:sz w:val="28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1663" w:right="1688"/>
      <w:jc w:val="center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https://bloomboxclub.ie/" TargetMode="External"/><Relationship Id="rId9" Type="http://schemas.openxmlformats.org/officeDocument/2006/relationships/hyperlink" Target="https://portfoliocoffee.ca/" TargetMode="External"/><Relationship Id="rId10" Type="http://schemas.openxmlformats.org/officeDocument/2006/relationships/hyperlink" Target="https://bloomboxfrance.fr/" TargetMode="External"/><Relationship Id="rId11" Type="http://schemas.openxmlformats.org/officeDocument/2006/relationships/hyperlink" Target="https://plantx.com/" TargetMode="External"/><Relationship Id="rId12" Type="http://schemas.openxmlformats.org/officeDocument/2006/relationships/hyperlink" Target="https://plantx.ca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veganessentials.com/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littlewest.com/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hyperlink" Target="https://ehroasters.com/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s://bloomboxclub.com/" TargetMode="External"/><Relationship Id="rId22" Type="http://schemas.openxmlformats.org/officeDocument/2006/relationships/image" Target="media/image7.jpeg"/><Relationship Id="rId23" Type="http://schemas.openxmlformats.org/officeDocument/2006/relationships/hyperlink" Target="https://locavorebarandgrill.com/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pn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hyperlink" Target="http://www.PlantX.com/" TargetMode="External"/><Relationship Id="rId33" Type="http://schemas.openxmlformats.org/officeDocument/2006/relationships/hyperlink" Target="http://www.sedar.com/" TargetMode="External"/><Relationship Id="rId34" Type="http://schemas.openxmlformats.org/officeDocument/2006/relationships/hyperlink" Target="http://www.PlantX.comand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Shariq Khan</dc:creator>
  <dcterms:created xsi:type="dcterms:W3CDTF">2023-07-28T15:43:49Z</dcterms:created>
  <dcterms:modified xsi:type="dcterms:W3CDTF">2023-07-28T15:43:49Z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2023-07-28T00:00:00Z</vt:filetime>
  </property>
</Properties>
</file>